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rPr>
          <w:rFonts w:hint="eastAsia" w:ascii="仿宋" w:hAnsi="仿宋" w:eastAsia="仿宋"/>
          <w:szCs w:val="32"/>
          <w:lang w:val="en-US" w:eastAsia="zh-CN"/>
        </w:rPr>
      </w:pPr>
      <w:r>
        <w:rPr>
          <w:rFonts w:hint="eastAsia" w:ascii="仿宋" w:hAnsi="仿宋" w:eastAsia="仿宋"/>
          <w:szCs w:val="32"/>
        </w:rPr>
        <w:t>附件</w:t>
      </w:r>
      <w:r>
        <w:rPr>
          <w:rFonts w:hint="eastAsia" w:ascii="仿宋" w:hAnsi="仿宋" w:eastAsia="仿宋"/>
          <w:szCs w:val="32"/>
          <w:lang w:val="en-US" w:eastAsia="zh-CN"/>
        </w:rPr>
        <w:t>4</w:t>
      </w:r>
    </w:p>
    <w:p>
      <w:pPr>
        <w:jc w:val="center"/>
        <w:rPr>
          <w:rFonts w:hint="default" w:eastAsia="仿宋_GB2312"/>
          <w:b/>
          <w:bCs/>
          <w:sz w:val="36"/>
          <w:szCs w:val="32"/>
          <w:lang w:val="en-US" w:eastAsia="zh-CN"/>
        </w:rPr>
      </w:pPr>
      <w:r>
        <w:rPr>
          <w:rFonts w:hint="eastAsia"/>
          <w:b/>
          <w:bCs/>
          <w:sz w:val="36"/>
          <w:szCs w:val="32"/>
        </w:rPr>
        <w:t>微波消融治疗仪参数</w:t>
      </w:r>
      <w:r>
        <w:rPr>
          <w:rFonts w:hint="eastAsia"/>
          <w:b/>
          <w:bCs/>
          <w:sz w:val="36"/>
          <w:szCs w:val="32"/>
          <w:lang w:val="en-US" w:eastAsia="zh-CN"/>
        </w:rPr>
        <w:t>配置要求</w:t>
      </w:r>
    </w:p>
    <w:p>
      <w:pPr>
        <w:numPr>
          <w:ilvl w:val="0"/>
          <w:numId w:val="1"/>
        </w:numPr>
        <w:rPr>
          <w:rFonts w:ascii="仿宋_GB2312" w:hAnsiTheme="minorEastAsia"/>
          <w:szCs w:val="32"/>
        </w:rPr>
      </w:pPr>
      <w:r>
        <w:rPr>
          <w:rFonts w:hint="eastAsia" w:ascii="仿宋_GB2312" w:hAnsiTheme="minorEastAsia"/>
          <w:szCs w:val="32"/>
        </w:rPr>
        <w:t>总体要求</w:t>
      </w:r>
    </w:p>
    <w:p>
      <w:pPr>
        <w:pStyle w:val="2"/>
        <w:ind w:firstLine="600"/>
        <w:rPr>
          <w:rFonts w:ascii="仿宋_GB2312" w:hAnsi="仿宋_GB2312" w:eastAsia="仿宋_GB2312" w:cs="仿宋_GB2312"/>
          <w:sz w:val="32"/>
          <w:szCs w:val="22"/>
          <w:lang w:eastAsia="zh-CN"/>
        </w:rPr>
      </w:pPr>
      <w:r>
        <w:rPr>
          <w:rFonts w:hint="eastAsia" w:ascii="仿宋_GB2312" w:hAnsi="仿宋_GB2312" w:eastAsia="仿宋_GB2312" w:cs="仿宋_GB2312"/>
          <w:sz w:val="32"/>
          <w:szCs w:val="22"/>
          <w:lang w:eastAsia="zh-CN"/>
        </w:rPr>
        <w:t>★1、所投产品具有有效的医疗器械注册证明。开展项目所需的耗材（不作医疗器械管理的除外）均取得国家药品监督管理局相关注册证明，且在广东省医疗保障局规定的国家医疗保障信息平台药品与医用耗材招采管理子系统耗材目录内。</w:t>
      </w:r>
    </w:p>
    <w:p>
      <w:pPr>
        <w:pStyle w:val="2"/>
        <w:numPr>
          <w:ilvl w:val="0"/>
          <w:numId w:val="2"/>
        </w:numPr>
        <w:ind w:firstLine="600"/>
        <w:rPr>
          <w:rFonts w:ascii="仿宋_GB2312" w:hAnsi="仿宋_GB2312" w:eastAsia="仿宋_GB2312" w:cs="仿宋_GB2312"/>
          <w:sz w:val="32"/>
          <w:szCs w:val="22"/>
          <w:lang w:eastAsia="zh-CN"/>
        </w:rPr>
      </w:pPr>
      <w:r>
        <w:rPr>
          <w:rFonts w:hint="eastAsia" w:ascii="仿宋_GB2312" w:hAnsi="仿宋_GB2312" w:eastAsia="仿宋_GB2312" w:cs="仿宋_GB2312"/>
          <w:sz w:val="32"/>
          <w:szCs w:val="22"/>
          <w:lang w:eastAsia="zh-CN"/>
        </w:rPr>
        <w:t>设备主要用于人体实体肿瘤以及甲状腺良性结节的微波消融治疗。</w:t>
      </w:r>
    </w:p>
    <w:p>
      <w:pPr>
        <w:pStyle w:val="2"/>
        <w:numPr>
          <w:ilvl w:val="255"/>
          <w:numId w:val="0"/>
        </w:numPr>
        <w:rPr>
          <w:rFonts w:ascii="仿宋_GB2312" w:hAnsi="仿宋_GB2312" w:eastAsia="仿宋_GB2312" w:cs="仿宋_GB2312"/>
          <w:sz w:val="32"/>
          <w:szCs w:val="22"/>
          <w:lang w:eastAsia="zh-CN"/>
        </w:rPr>
      </w:pPr>
      <w:r>
        <w:rPr>
          <w:rFonts w:hint="eastAsia" w:ascii="仿宋_GB2312" w:hAnsi="仿宋_GB2312" w:eastAsia="仿宋_GB2312" w:cs="仿宋_GB2312"/>
          <w:sz w:val="32"/>
          <w:szCs w:val="22"/>
          <w:lang w:eastAsia="zh-CN"/>
        </w:rPr>
        <w:t xml:space="preserve">    二、参数配置要求</w:t>
      </w:r>
    </w:p>
    <w:p>
      <w:pPr>
        <w:rPr>
          <w:rFonts w:ascii="仿宋_GB2312" w:hAnsiTheme="minorEastAsia"/>
          <w:szCs w:val="32"/>
        </w:rPr>
      </w:pPr>
      <w:r>
        <w:rPr>
          <w:rFonts w:hint="eastAsia" w:ascii="仿宋_GB2312" w:hAnsiTheme="minorEastAsia"/>
          <w:szCs w:val="32"/>
        </w:rPr>
        <w:t>1、▲工作端口可以有两个微波输出端</w:t>
      </w:r>
    </w:p>
    <w:p>
      <w:pPr>
        <w:rPr>
          <w:rFonts w:ascii="仿宋_GB2312" w:hAnsiTheme="minorEastAsia"/>
          <w:szCs w:val="32"/>
        </w:rPr>
      </w:pPr>
      <w:r>
        <w:rPr>
          <w:rFonts w:hint="eastAsia" w:ascii="仿宋_GB2312" w:hAnsiTheme="minorEastAsia"/>
          <w:szCs w:val="32"/>
        </w:rPr>
        <w:t>2、▲输出功率：支持0-100W，连续可调。</w:t>
      </w:r>
    </w:p>
    <w:p>
      <w:pPr>
        <w:rPr>
          <w:rFonts w:ascii="仿宋_GB2312" w:hAnsiTheme="minorEastAsia"/>
          <w:szCs w:val="32"/>
        </w:rPr>
      </w:pPr>
      <w:r>
        <w:rPr>
          <w:rFonts w:hint="eastAsia" w:ascii="仿宋_GB2312" w:hAnsiTheme="minorEastAsia"/>
          <w:szCs w:val="32"/>
        </w:rPr>
        <w:t>3、可以选择连续、间隙两种工作模式，且两种模式可以互换可调。</w:t>
      </w:r>
    </w:p>
    <w:p>
      <w:pPr>
        <w:rPr>
          <w:rFonts w:ascii="仿宋_GB2312" w:hAnsiTheme="minorEastAsia"/>
          <w:szCs w:val="32"/>
        </w:rPr>
      </w:pPr>
      <w:r>
        <w:rPr>
          <w:rFonts w:hint="eastAsia" w:ascii="仿宋_GB2312" w:hAnsiTheme="minorEastAsia"/>
          <w:szCs w:val="32"/>
        </w:rPr>
        <w:t>4、治疗时间：治疗时间1-30分钟，可以任意选择设置，治疗时间到，自动停止输出功率。</w:t>
      </w:r>
    </w:p>
    <w:p>
      <w:pPr>
        <w:rPr>
          <w:rFonts w:ascii="仿宋_GB2312" w:hAnsiTheme="minorEastAsia"/>
          <w:szCs w:val="32"/>
        </w:rPr>
      </w:pPr>
      <w:r>
        <w:rPr>
          <w:rFonts w:hint="eastAsia" w:ascii="仿宋_GB2312" w:hAnsiTheme="minorEastAsia"/>
          <w:szCs w:val="32"/>
        </w:rPr>
        <w:t>5、▲带有冷却系统，以保证消融针</w:t>
      </w:r>
      <w:r>
        <w:rPr>
          <w:rFonts w:hint="eastAsia" w:ascii="仿宋_GB2312" w:hAnsiTheme="minorEastAsia"/>
          <w:color w:val="auto"/>
          <w:szCs w:val="32"/>
          <w:highlight w:val="none"/>
          <w:lang w:val="en-US" w:eastAsia="zh-CN"/>
        </w:rPr>
        <w:t>与</w:t>
      </w:r>
      <w:r>
        <w:rPr>
          <w:rFonts w:hint="eastAsia" w:ascii="仿宋_GB2312" w:hAnsiTheme="minorEastAsia"/>
          <w:color w:val="auto"/>
          <w:szCs w:val="32"/>
          <w:highlight w:val="none"/>
        </w:rPr>
        <w:t>正</w:t>
      </w:r>
      <w:r>
        <w:rPr>
          <w:rFonts w:hint="eastAsia" w:ascii="仿宋_GB2312" w:hAnsiTheme="minorEastAsia"/>
          <w:szCs w:val="32"/>
        </w:rPr>
        <w:t>常组织接触的温度控制在45℃以内。</w:t>
      </w:r>
    </w:p>
    <w:p>
      <w:pPr>
        <w:rPr>
          <w:rFonts w:ascii="仿宋_GB2312" w:hAnsiTheme="minorEastAsia"/>
          <w:szCs w:val="32"/>
        </w:rPr>
      </w:pPr>
      <w:r>
        <w:rPr>
          <w:rFonts w:hint="eastAsia" w:ascii="仿宋_GB2312" w:hAnsiTheme="minorEastAsia"/>
          <w:szCs w:val="32"/>
        </w:rPr>
        <w:t>6、消融针杆温监测及超温保护:消融针针杆温度实时监测、显示，超过45℃，自动停止输出功率。</w:t>
      </w:r>
    </w:p>
    <w:p>
      <w:pPr>
        <w:rPr>
          <w:rFonts w:ascii="仿宋_GB2312" w:hAnsiTheme="minorEastAsia"/>
          <w:szCs w:val="32"/>
        </w:rPr>
      </w:pPr>
      <w:r>
        <w:rPr>
          <w:rFonts w:hint="eastAsia" w:ascii="仿宋_GB2312" w:hAnsiTheme="minorEastAsia"/>
          <w:szCs w:val="32"/>
        </w:rPr>
        <w:t>7、检测系统：可对消融针发射状态进行测试，确保工作状态中有微波功率输出。</w:t>
      </w:r>
    </w:p>
    <w:p>
      <w:pPr>
        <w:rPr>
          <w:rFonts w:ascii="仿宋_GB2312" w:hAnsiTheme="minorEastAsia"/>
          <w:szCs w:val="32"/>
        </w:rPr>
      </w:pPr>
      <w:r>
        <w:rPr>
          <w:rFonts w:hint="eastAsia" w:ascii="仿宋_GB2312" w:hAnsiTheme="minorEastAsia"/>
          <w:szCs w:val="32"/>
        </w:rPr>
        <w:t>8、▲控制系统：至少包含两种控制系统：</w:t>
      </w:r>
    </w:p>
    <w:p>
      <w:pPr>
        <w:rPr>
          <w:rFonts w:ascii="仿宋_GB2312" w:hAnsiTheme="minorEastAsia"/>
          <w:szCs w:val="32"/>
        </w:rPr>
      </w:pPr>
      <w:r>
        <w:rPr>
          <w:rFonts w:hint="eastAsia" w:ascii="仿宋_GB2312" w:hAnsiTheme="minorEastAsia"/>
          <w:szCs w:val="32"/>
        </w:rPr>
        <w:t>（1）脚踏开关控制系统</w:t>
      </w:r>
    </w:p>
    <w:p>
      <w:pPr>
        <w:rPr>
          <w:rFonts w:ascii="仿宋_GB2312" w:hAnsiTheme="minorEastAsia"/>
          <w:szCs w:val="32"/>
        </w:rPr>
      </w:pPr>
      <w:r>
        <w:rPr>
          <w:rFonts w:hint="eastAsia" w:ascii="仿宋_GB2312" w:hAnsiTheme="minorEastAsia"/>
          <w:szCs w:val="32"/>
        </w:rPr>
        <w:t>（2）按键或触屏等控制系统</w:t>
      </w:r>
    </w:p>
    <w:p>
      <w:pPr>
        <w:rPr>
          <w:rFonts w:ascii="仿宋_GB2312" w:hAnsiTheme="minorEastAsia"/>
          <w:szCs w:val="32"/>
        </w:rPr>
      </w:pPr>
      <w:r>
        <w:rPr>
          <w:rFonts w:hint="eastAsia" w:ascii="仿宋_GB2312" w:hAnsiTheme="minorEastAsia"/>
          <w:szCs w:val="32"/>
        </w:rPr>
        <w:t>9、配置监控软件，可用于监控工作温度变化曲线，以用作数据分析。</w:t>
      </w:r>
    </w:p>
    <w:p>
      <w:pPr>
        <w:rPr>
          <w:rFonts w:ascii="仿宋_GB2312" w:hAnsiTheme="minorEastAsia"/>
          <w:szCs w:val="32"/>
        </w:rPr>
      </w:pPr>
      <w:r>
        <w:rPr>
          <w:rFonts w:hint="eastAsia" w:ascii="仿宋_GB2312" w:hAnsiTheme="minorEastAsia"/>
          <w:szCs w:val="32"/>
        </w:rPr>
        <w:t>10、工作电源：220V，配备液晶屏显示功能。</w:t>
      </w:r>
    </w:p>
    <w:p>
      <w:pPr>
        <w:rPr>
          <w:rFonts w:ascii="仿宋_GB2312" w:hAnsiTheme="minorEastAsia"/>
          <w:szCs w:val="32"/>
        </w:rPr>
      </w:pPr>
      <w:r>
        <w:rPr>
          <w:rFonts w:hint="eastAsia" w:ascii="仿宋_GB2312" w:hAnsiTheme="minorEastAsia"/>
          <w:szCs w:val="32"/>
        </w:rPr>
        <w:t>11、整机防泄漏：防止微波辐射泄漏。</w:t>
      </w:r>
    </w:p>
    <w:p>
      <w:pPr>
        <w:rPr>
          <w:rFonts w:ascii="仿宋_GB2312" w:hAnsiTheme="minorEastAsia"/>
          <w:szCs w:val="32"/>
        </w:rPr>
      </w:pPr>
      <w:r>
        <w:rPr>
          <w:rFonts w:hint="eastAsia" w:ascii="仿宋_GB2312" w:hAnsiTheme="minorEastAsia"/>
          <w:szCs w:val="32"/>
        </w:rPr>
        <w:t>12、保修：保修≥8年，故障发生后30分钟内响应，24小时内到达现场。保修期内提供每年至少1次的预防性维护。费用均包含在投标报价中。</w:t>
      </w:r>
    </w:p>
    <w:p>
      <w:pPr>
        <w:rPr>
          <w:rFonts w:ascii="仿宋_GB2312" w:hAnsiTheme="minorEastAsia"/>
          <w:szCs w:val="32"/>
        </w:rPr>
      </w:pPr>
      <w:r>
        <w:rPr>
          <w:rFonts w:hint="eastAsia" w:ascii="仿宋_GB2312" w:hAnsiTheme="minorEastAsia"/>
          <w:szCs w:val="32"/>
        </w:rPr>
        <w:t>13、设备使用年限≥8年，提供说明书或铭牌佐证。设备交货日期不得超过生产日期后九个月。所投设备为非召回、非停产设备。</w:t>
      </w:r>
    </w:p>
    <w:p>
      <w:pPr>
        <w:rPr>
          <w:rFonts w:ascii="仿宋_GB2312" w:hAnsiTheme="minorEastAsia"/>
          <w:szCs w:val="32"/>
        </w:rPr>
      </w:pPr>
      <w:r>
        <w:rPr>
          <w:rFonts w:hint="eastAsia" w:ascii="仿宋_GB2312" w:hAnsiTheme="minorEastAsia"/>
          <w:szCs w:val="32"/>
        </w:rPr>
        <w:t>二、设备配置1要求：</w:t>
      </w:r>
    </w:p>
    <w:p>
      <w:pPr>
        <w:rPr>
          <w:rFonts w:ascii="仿宋_GB2312" w:hAnsiTheme="minorEastAsia"/>
          <w:szCs w:val="32"/>
        </w:rPr>
      </w:pPr>
      <w:r>
        <w:rPr>
          <w:rFonts w:hint="eastAsia" w:ascii="仿宋_GB2312" w:hAnsiTheme="minorEastAsia"/>
          <w:szCs w:val="32"/>
        </w:rPr>
        <w:t>数量：2台</w:t>
      </w:r>
    </w:p>
    <w:p>
      <w:pPr>
        <w:rPr>
          <w:rFonts w:ascii="仿宋_GB2312" w:hAnsiTheme="minorEastAsia"/>
          <w:szCs w:val="32"/>
        </w:rPr>
      </w:pPr>
      <w:r>
        <w:rPr>
          <w:rFonts w:hint="eastAsia" w:ascii="仿宋_GB2312" w:hAnsiTheme="minorEastAsia"/>
          <w:szCs w:val="32"/>
        </w:rPr>
        <w:t>1、设备适用范围：注册证适应症至少包含了肝癌，甲状腺结节等，提供注册证证明。</w:t>
      </w:r>
    </w:p>
    <w:p>
      <w:pPr>
        <w:rPr>
          <w:rFonts w:ascii="仿宋_GB2312" w:hAnsiTheme="minorEastAsia"/>
          <w:szCs w:val="32"/>
        </w:rPr>
      </w:pPr>
      <w:r>
        <w:rPr>
          <w:rFonts w:hint="eastAsia" w:ascii="仿宋_GB2312" w:hAnsiTheme="minorEastAsia"/>
          <w:szCs w:val="32"/>
        </w:rPr>
        <w:t>2、单套配置要求：</w:t>
      </w:r>
    </w:p>
    <w:p>
      <w:pPr>
        <w:rPr>
          <w:rFonts w:ascii="仿宋_GB2312" w:hAnsiTheme="minorEastAsia"/>
          <w:szCs w:val="32"/>
        </w:rPr>
      </w:pPr>
      <w:r>
        <w:rPr>
          <w:rFonts w:hint="eastAsia" w:ascii="仿宋_GB2312" w:hAnsiTheme="minorEastAsia"/>
          <w:szCs w:val="32"/>
        </w:rPr>
        <w:t>主机系统1套，键盘1个，鼠标1个、脚踏开关1对、挂水支架1个、电源线1条</w:t>
      </w:r>
    </w:p>
    <w:p>
      <w:pPr>
        <w:rPr>
          <w:rFonts w:ascii="仿宋_GB2312" w:hAnsiTheme="minorEastAsia"/>
          <w:szCs w:val="32"/>
        </w:rPr>
      </w:pPr>
      <w:r>
        <w:rPr>
          <w:rFonts w:hint="eastAsia" w:ascii="仿宋_GB2312" w:hAnsiTheme="minorEastAsia"/>
          <w:szCs w:val="32"/>
        </w:rPr>
        <w:t>三、设备配置2要求：</w:t>
      </w:r>
    </w:p>
    <w:p>
      <w:pPr>
        <w:rPr>
          <w:rFonts w:ascii="仿宋_GB2312" w:hAnsiTheme="minorEastAsia"/>
          <w:szCs w:val="32"/>
        </w:rPr>
      </w:pPr>
      <w:r>
        <w:rPr>
          <w:rFonts w:hint="eastAsia" w:ascii="仿宋_GB2312" w:hAnsiTheme="minorEastAsia"/>
          <w:szCs w:val="32"/>
        </w:rPr>
        <w:t>数量：1台</w:t>
      </w:r>
    </w:p>
    <w:p>
      <w:pPr>
        <w:rPr>
          <w:rFonts w:ascii="仿宋_GB2312" w:hAnsiTheme="minorEastAsia"/>
          <w:szCs w:val="32"/>
        </w:rPr>
      </w:pPr>
      <w:r>
        <w:rPr>
          <w:rFonts w:hint="eastAsia" w:ascii="仿宋_GB2312" w:hAnsiTheme="minorEastAsia"/>
          <w:szCs w:val="32"/>
        </w:rPr>
        <w:t>1、设备适用范围：甲状腺良性结节微波消融治疗，提供注册证证明。</w:t>
      </w:r>
    </w:p>
    <w:p>
      <w:pPr>
        <w:rPr>
          <w:rFonts w:ascii="仿宋_GB2312" w:hAnsiTheme="minorEastAsia"/>
          <w:szCs w:val="32"/>
        </w:rPr>
      </w:pPr>
      <w:r>
        <w:rPr>
          <w:rFonts w:hint="eastAsia" w:ascii="仿宋_GB2312" w:hAnsiTheme="minorEastAsia"/>
          <w:szCs w:val="32"/>
        </w:rPr>
        <w:t>2、单套配置要求：</w:t>
      </w:r>
    </w:p>
    <w:p>
      <w:pPr>
        <w:rPr>
          <w:rFonts w:ascii="仿宋_GB2312" w:hAnsiTheme="minorEastAsia"/>
          <w:szCs w:val="32"/>
        </w:rPr>
      </w:pPr>
      <w:r>
        <w:rPr>
          <w:rFonts w:hint="eastAsia" w:ascii="仿宋_GB2312" w:hAnsiTheme="minorEastAsia"/>
          <w:szCs w:val="32"/>
        </w:rPr>
        <w:t>主机系统1套，键盘1个，鼠标1个</w:t>
      </w:r>
    </w:p>
    <w:p>
      <w:pPr>
        <w:pStyle w:val="2"/>
        <w:numPr>
          <w:ilvl w:val="0"/>
          <w:numId w:val="3"/>
        </w:numPr>
        <w:rPr>
          <w:rFonts w:ascii="仿宋_GB2312" w:eastAsia="仿宋_GB2312" w:hAnsiTheme="minorEastAsia"/>
          <w:sz w:val="32"/>
          <w:szCs w:val="32"/>
          <w:lang w:eastAsia="zh-CN"/>
        </w:rPr>
      </w:pPr>
      <w:r>
        <w:rPr>
          <w:rFonts w:hint="eastAsia" w:ascii="仿宋_GB2312" w:eastAsia="仿宋_GB2312" w:hAnsiTheme="minorEastAsia"/>
          <w:sz w:val="32"/>
          <w:szCs w:val="32"/>
          <w:lang w:eastAsia="zh-CN"/>
        </w:rPr>
        <w:t>耗材要求</w:t>
      </w:r>
    </w:p>
    <w:p>
      <w:pPr>
        <w:pStyle w:val="2"/>
        <w:numPr>
          <w:ilvl w:val="255"/>
          <w:numId w:val="0"/>
        </w:numPr>
        <w:rPr>
          <w:rFonts w:ascii="仿宋_GB2312" w:eastAsia="仿宋_GB2312" w:hAnsiTheme="minorEastAsia"/>
          <w:sz w:val="32"/>
          <w:szCs w:val="32"/>
          <w:lang w:eastAsia="zh-CN"/>
        </w:rPr>
      </w:pPr>
      <w:r>
        <w:rPr>
          <w:rFonts w:hint="eastAsia" w:ascii="仿宋_GB2312" w:eastAsia="仿宋_GB2312" w:hAnsiTheme="minorEastAsia"/>
          <w:sz w:val="32"/>
          <w:szCs w:val="32"/>
          <w:lang w:eastAsia="zh-CN"/>
        </w:rPr>
        <w:t xml:space="preserve">    ▲1、配套耗材规格、型号齐全，能满足临床不同病例的需要。投标人需在投标文件中列出所投设备配套耗材的名称、生产企业、规格、型号、产品编码、单价、是否专机专用、注册证号、适用于哪些病种、广东省医疗保障局规定的国家医疗保障信息平台药品与医用耗材招采管理子系统产品ID及截图等进行响应。</w:t>
      </w:r>
    </w:p>
    <w:p>
      <w:pPr>
        <w:pStyle w:val="2"/>
        <w:numPr>
          <w:ilvl w:val="255"/>
          <w:numId w:val="0"/>
        </w:numPr>
        <w:ind w:firstLine="680" w:firstLineChars="200"/>
        <w:rPr>
          <w:rFonts w:ascii="仿宋_GB2312" w:eastAsia="仿宋_GB2312" w:hAnsiTheme="minorEastAsia"/>
          <w:sz w:val="32"/>
          <w:szCs w:val="32"/>
          <w:lang w:eastAsia="zh-CN"/>
        </w:rPr>
      </w:pPr>
      <w:r>
        <w:rPr>
          <w:rFonts w:hint="eastAsia" w:ascii="仿宋_GB2312" w:eastAsia="仿宋_GB2312" w:hAnsiTheme="minorEastAsia"/>
          <w:sz w:val="32"/>
          <w:szCs w:val="32"/>
          <w:lang w:eastAsia="zh-CN"/>
        </w:rPr>
        <w:t>★2、配套耗材所报单价，不得高于以下价格：需承诺所有单价不高于全国各省、市交易平台公布或交易的价格，承诺所报价格在设备使用期限内不上调且均可在广东省医疗保障局规定的国家医疗保障信息平台药品与医用耗材招采管理子系统或政府主管部门规定的其他交易平台进行交易，如遇国家政策或者市场调节造成价格下调时应同步下调（提供承诺函，格式自拟），招标采购过程中对配套耗材的价格水平进行评审考核。</w:t>
      </w:r>
    </w:p>
    <w:p>
      <w:pPr>
        <w:pStyle w:val="2"/>
        <w:numPr>
          <w:ilvl w:val="255"/>
          <w:numId w:val="0"/>
        </w:numPr>
        <w:ind w:firstLine="680" w:firstLineChars="200"/>
        <w:rPr>
          <w:rFonts w:ascii="仿宋_GB2312" w:eastAsia="仿宋_GB2312" w:hAnsiTheme="minorEastAsia"/>
          <w:sz w:val="32"/>
          <w:szCs w:val="32"/>
          <w:lang w:eastAsia="zh-CN"/>
        </w:rPr>
      </w:pPr>
      <w:r>
        <w:rPr>
          <w:rFonts w:hint="eastAsia" w:ascii="仿宋_GB2312" w:eastAsia="仿宋_GB2312" w:hAnsiTheme="minorEastAsia"/>
          <w:sz w:val="32"/>
          <w:szCs w:val="32"/>
          <w:lang w:eastAsia="zh-CN"/>
        </w:rPr>
        <w:t>3、提供投标时在各省市平台公布或交易的价格截图(不少于3个平台，其中至少需含浙江、江苏、京津冀平台中的一个）；及近半年其他3家三甲医院的采购记录及发票复印件等佐证材料。</w:t>
      </w:r>
    </w:p>
    <w:p>
      <w:pPr>
        <w:pStyle w:val="2"/>
        <w:numPr>
          <w:ilvl w:val="255"/>
          <w:numId w:val="0"/>
        </w:numPr>
        <w:ind w:firstLine="680" w:firstLineChars="200"/>
        <w:rPr>
          <w:rFonts w:ascii="仿宋_GB2312" w:eastAsia="仿宋_GB2312" w:hAnsiTheme="minorEastAsia"/>
          <w:sz w:val="32"/>
          <w:szCs w:val="32"/>
          <w:lang w:eastAsia="zh-CN"/>
        </w:rPr>
      </w:pPr>
      <w:r>
        <w:rPr>
          <w:rFonts w:hint="eastAsia" w:ascii="仿宋_GB2312" w:eastAsia="仿宋_GB2312" w:hAnsiTheme="minorEastAsia"/>
          <w:sz w:val="32"/>
          <w:szCs w:val="32"/>
          <w:lang w:eastAsia="zh-CN"/>
        </w:rPr>
        <w:t>4、设备使用期内如采购人需要采购专机专用配套耗材，中标人应确保产品及时供应且所供应的价格不得高于此次承诺单价（投标时提供生产厂家承诺函并盖章），同时不得限制医院对耗材规格、型号的选择及规定每月、每季度、每年的采购数量。</w:t>
      </w:r>
    </w:p>
    <w:p>
      <w:pPr>
        <w:pStyle w:val="2"/>
        <w:numPr>
          <w:ilvl w:val="255"/>
          <w:numId w:val="0"/>
        </w:numPr>
        <w:ind w:firstLine="680" w:firstLineChars="200"/>
        <w:rPr>
          <w:rFonts w:ascii="仿宋_GB2312" w:eastAsia="仿宋_GB2312" w:hAnsiTheme="minorEastAsia"/>
          <w:sz w:val="32"/>
          <w:szCs w:val="32"/>
          <w:lang w:eastAsia="zh-CN"/>
        </w:rPr>
      </w:pPr>
      <w:r>
        <w:rPr>
          <w:rFonts w:hint="eastAsia" w:ascii="仿宋_GB2312" w:eastAsia="仿宋_GB2312" w:hAnsiTheme="minorEastAsia"/>
          <w:sz w:val="32"/>
          <w:szCs w:val="32"/>
          <w:lang w:eastAsia="zh-CN"/>
        </w:rPr>
        <w:t>5、设备使用期内如生产厂家对配套专机专用耗材进行升级，升级后的产品供应价格应不高于此次投标价格或产品升级前所供应价格且可以通过广东省医疗保障局规定的国家医疗保障信息平台药品与医用耗材招采管理子系统或政府主管部门规定的其他交易平台进行交易（投标时提供生产厂家承诺函并盖章）。</w:t>
      </w:r>
    </w:p>
    <w:p>
      <w:pPr>
        <w:pStyle w:val="2"/>
        <w:numPr>
          <w:ilvl w:val="255"/>
          <w:numId w:val="0"/>
        </w:numPr>
        <w:ind w:firstLine="520" w:firstLineChars="200"/>
        <w:rPr>
          <w:rFonts w:ascii="仿宋_GB2312" w:hAnsi="仿宋_GB2312" w:eastAsia="仿宋_GB2312" w:cs="仿宋_GB2312"/>
          <w:bCs w:val="0"/>
          <w:lang w:eastAsia="zh-CN"/>
        </w:rPr>
      </w:pPr>
    </w:p>
    <w:p>
      <w:pPr>
        <w:rPr>
          <w:rFonts w:hint="eastAsia" w:ascii="仿宋_GB2312" w:hAnsi="仿宋_GB2312" w:cs="仿宋_GB2312"/>
          <w:b w:val="0"/>
          <w:bCs w:val="0"/>
          <w:lang w:eastAsia="zh-CN"/>
        </w:rPr>
      </w:pPr>
      <w:r>
        <w:rPr>
          <w:rFonts w:hint="eastAsia" w:ascii="仿宋_GB2312" w:hAnsi="仿宋_GB2312" w:eastAsia="仿宋_GB2312" w:cs="仿宋_GB2312"/>
          <w:b w:val="0"/>
          <w:bCs w:val="0"/>
        </w:rPr>
        <w:t>说明：打“★”号条款为实质性条款，若有任何一条负偏离或不满足则导致投标无效。</w:t>
      </w:r>
      <w:r>
        <w:rPr>
          <w:rFonts w:hint="eastAsia" w:ascii="仿宋_GB2312" w:hAnsi="仿宋_GB2312" w:eastAsia="仿宋_GB2312" w:cs="仿宋_GB2312"/>
          <w:b w:val="0"/>
          <w:bCs w:val="0"/>
        </w:rPr>
        <w:br w:type="textWrapping"/>
      </w:r>
      <w:r>
        <w:rPr>
          <w:rFonts w:hint="eastAsia" w:ascii="仿宋_GB2312" w:hAnsi="仿宋_GB2312" w:eastAsia="仿宋_GB2312" w:cs="仿宋_GB2312"/>
          <w:b w:val="0"/>
          <w:bCs w:val="0"/>
        </w:rPr>
        <w:t xml:space="preserve">    打“▲”号条款为重要技术参数，若有部分“▲”条款未响应或不满足，将导致其响应性评审加重扣分，但不作为无效投标条款</w:t>
      </w:r>
      <w:r>
        <w:rPr>
          <w:rFonts w:hint="eastAsia" w:ascii="仿宋_GB2312" w:hAnsi="仿宋_GB2312" w:cs="仿宋_GB2312"/>
          <w:b w:val="0"/>
          <w:bCs w:val="0"/>
          <w:lang w:eastAsia="zh-CN"/>
        </w:rPr>
        <w:t>。</w:t>
      </w:r>
    </w:p>
    <w:p>
      <w:pPr>
        <w:rPr>
          <w:rFonts w:hint="eastAsia"/>
          <w:color w:val="auto"/>
          <w:highlight w:val="none"/>
          <w:shd w:val="clear" w:color="auto" w:fill="auto"/>
        </w:rPr>
      </w:pPr>
      <w:r>
        <w:rPr>
          <w:rFonts w:hint="eastAsia" w:ascii="仿宋_GB2312" w:hAnsi="仿宋_GB2312" w:cs="仿宋_GB2312"/>
          <w:b w:val="0"/>
          <w:bCs w:val="0"/>
          <w:lang w:eastAsia="zh-CN"/>
        </w:rPr>
        <w:br w:type="page"/>
      </w:r>
      <w:bookmarkStart w:id="0" w:name="_GoBack"/>
      <w:bookmarkEnd w:id="0"/>
    </w:p>
    <w:p>
      <w:pPr>
        <w:numPr>
          <w:ilvl w:val="0"/>
          <w:numId w:val="0"/>
        </w:numPr>
        <w:snapToGrid w:val="0"/>
        <w:spacing w:line="276" w:lineRule="auto"/>
        <w:rPr>
          <w:rFonts w:hint="eastAsia" w:ascii="仿宋" w:hAnsi="仿宋" w:eastAsia="仿宋" w:cs="Times New Roman"/>
          <w:sz w:val="28"/>
          <w:szCs w:val="28"/>
          <w:lang w:eastAsia="zh-CN"/>
        </w:rPr>
      </w:pPr>
      <w:r>
        <w:rPr>
          <w:rFonts w:hint="eastAsia" w:ascii="仿宋" w:hAnsi="仿宋" w:eastAsia="仿宋" w:cs="Times New Roman"/>
          <w:sz w:val="28"/>
          <w:szCs w:val="28"/>
        </w:rPr>
        <w:t>评审因素及对应的分值、权重</w:t>
      </w:r>
      <w:r>
        <w:rPr>
          <w:rFonts w:hint="eastAsia" w:ascii="仿宋" w:hAnsi="仿宋" w:eastAsia="仿宋" w:cs="Times New Roman"/>
          <w:sz w:val="28"/>
          <w:szCs w:val="28"/>
          <w:lang w:eastAsia="zh-CN"/>
        </w:rPr>
        <w:t>：</w:t>
      </w:r>
    </w:p>
    <w:tbl>
      <w:tblPr>
        <w:tblStyle w:val="4"/>
        <w:tblW w:w="844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3"/>
        <w:gridCol w:w="2376"/>
        <w:gridCol w:w="52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0" w:hRule="atLeast"/>
        </w:trPr>
        <w:tc>
          <w:tcPr>
            <w:tcW w:w="853" w:type="dxa"/>
            <w:noWrap w:val="0"/>
            <w:vAlign w:val="top"/>
          </w:tcPr>
          <w:p>
            <w:pPr>
              <w:ind w:left="0" w:leftChars="0" w:firstLine="0" w:firstLineChars="0"/>
              <w:jc w:val="both"/>
              <w:rPr>
                <w:sz w:val="28"/>
                <w:szCs w:val="28"/>
              </w:rPr>
            </w:pPr>
            <w:r>
              <w:rPr>
                <w:sz w:val="28"/>
                <w:szCs w:val="28"/>
              </w:rPr>
              <w:t>评审因素</w:t>
            </w:r>
          </w:p>
        </w:tc>
        <w:tc>
          <w:tcPr>
            <w:tcW w:w="7588" w:type="dxa"/>
            <w:gridSpan w:val="2"/>
            <w:noWrap w:val="0"/>
            <w:vAlign w:val="top"/>
          </w:tcPr>
          <w:p>
            <w:pPr>
              <w:jc w:val="center"/>
              <w:rPr>
                <w:sz w:val="28"/>
                <w:szCs w:val="28"/>
              </w:rPr>
            </w:pPr>
            <w:r>
              <w:rPr>
                <w:sz w:val="28"/>
                <w:szCs w:val="28"/>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noWrap w:val="0"/>
            <w:vAlign w:val="top"/>
          </w:tcPr>
          <w:p>
            <w:pPr>
              <w:ind w:left="0" w:leftChars="0" w:firstLine="0" w:firstLineChars="0"/>
              <w:jc w:val="both"/>
              <w:rPr>
                <w:color w:val="auto"/>
                <w:sz w:val="28"/>
                <w:szCs w:val="28"/>
              </w:rPr>
            </w:pPr>
            <w:r>
              <w:rPr>
                <w:color w:val="auto"/>
                <w:sz w:val="28"/>
                <w:szCs w:val="28"/>
              </w:rPr>
              <w:t>分值构成</w:t>
            </w:r>
          </w:p>
        </w:tc>
        <w:tc>
          <w:tcPr>
            <w:tcW w:w="7588" w:type="dxa"/>
            <w:gridSpan w:val="2"/>
            <w:noWrap w:val="0"/>
            <w:vAlign w:val="top"/>
          </w:tcPr>
          <w:p>
            <w:pPr>
              <w:ind w:left="0" w:leftChars="0" w:firstLine="0" w:firstLineChars="0"/>
              <w:rPr>
                <w:color w:val="auto"/>
                <w:sz w:val="28"/>
                <w:szCs w:val="28"/>
              </w:rPr>
            </w:pPr>
            <w:r>
              <w:rPr>
                <w:rFonts w:hint="eastAsia"/>
                <w:color w:val="auto"/>
                <w:sz w:val="28"/>
                <w:szCs w:val="28"/>
                <w:lang w:val="en-US" w:eastAsia="zh-CN"/>
              </w:rPr>
              <w:t>商务</w:t>
            </w:r>
            <w:r>
              <w:rPr>
                <w:color w:val="auto"/>
                <w:sz w:val="28"/>
                <w:szCs w:val="28"/>
              </w:rPr>
              <w:t>部分</w:t>
            </w:r>
            <w:r>
              <w:rPr>
                <w:rFonts w:hint="eastAsia"/>
                <w:color w:val="auto"/>
                <w:sz w:val="28"/>
                <w:szCs w:val="28"/>
              </w:rPr>
              <w:t>14.0</w:t>
            </w:r>
            <w:r>
              <w:rPr>
                <w:color w:val="auto"/>
                <w:sz w:val="28"/>
                <w:szCs w:val="28"/>
              </w:rPr>
              <w:t>分</w:t>
            </w:r>
          </w:p>
          <w:p>
            <w:pPr>
              <w:ind w:left="0" w:leftChars="0" w:firstLine="0" w:firstLineChars="0"/>
              <w:rPr>
                <w:color w:val="auto"/>
                <w:sz w:val="28"/>
                <w:szCs w:val="28"/>
              </w:rPr>
            </w:pPr>
            <w:r>
              <w:rPr>
                <w:rFonts w:hint="eastAsia"/>
                <w:color w:val="auto"/>
                <w:sz w:val="28"/>
                <w:szCs w:val="28"/>
                <w:lang w:val="en-US" w:eastAsia="zh-CN"/>
              </w:rPr>
              <w:t>技术</w:t>
            </w:r>
            <w:r>
              <w:rPr>
                <w:color w:val="auto"/>
                <w:sz w:val="28"/>
                <w:szCs w:val="28"/>
              </w:rPr>
              <w:t>部分</w:t>
            </w:r>
            <w:r>
              <w:rPr>
                <w:rFonts w:hint="eastAsia"/>
                <w:color w:val="auto"/>
                <w:sz w:val="28"/>
                <w:szCs w:val="28"/>
              </w:rPr>
              <w:t>56.0</w:t>
            </w:r>
            <w:r>
              <w:rPr>
                <w:color w:val="auto"/>
                <w:sz w:val="28"/>
                <w:szCs w:val="28"/>
              </w:rPr>
              <w:t>分</w:t>
            </w:r>
          </w:p>
          <w:p>
            <w:pPr>
              <w:ind w:left="0" w:leftChars="0" w:firstLine="0" w:firstLineChars="0"/>
              <w:rPr>
                <w:color w:val="auto"/>
                <w:sz w:val="28"/>
                <w:szCs w:val="28"/>
              </w:rPr>
            </w:pPr>
            <w:r>
              <w:rPr>
                <w:color w:val="auto"/>
                <w:sz w:val="28"/>
                <w:szCs w:val="28"/>
              </w:rPr>
              <w:t>报价得分</w:t>
            </w:r>
            <w:r>
              <w:rPr>
                <w:rFonts w:hint="eastAsia"/>
                <w:color w:val="auto"/>
                <w:sz w:val="28"/>
                <w:szCs w:val="28"/>
              </w:rPr>
              <w:t>30.0</w:t>
            </w:r>
            <w:r>
              <w:rPr>
                <w:color w:val="auto"/>
                <w:sz w:val="28"/>
                <w:szCs w:val="28"/>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restart"/>
            <w:noWrap w:val="0"/>
            <w:vAlign w:val="top"/>
          </w:tcPr>
          <w:p>
            <w:pPr>
              <w:ind w:left="0" w:leftChars="0" w:firstLine="0" w:firstLineChars="0"/>
              <w:jc w:val="both"/>
              <w:rPr>
                <w:sz w:val="28"/>
                <w:szCs w:val="28"/>
              </w:rPr>
            </w:pPr>
            <w:r>
              <w:rPr>
                <w:sz w:val="28"/>
                <w:szCs w:val="28"/>
              </w:rPr>
              <w:t>技术部分</w:t>
            </w:r>
          </w:p>
        </w:tc>
        <w:tc>
          <w:tcPr>
            <w:tcW w:w="2376" w:type="dxa"/>
            <w:noWrap w:val="0"/>
            <w:vAlign w:val="top"/>
          </w:tcPr>
          <w:p>
            <w:pPr>
              <w:ind w:left="0" w:leftChars="0" w:firstLine="0" w:firstLineChars="0"/>
              <w:jc w:val="left"/>
              <w:rPr>
                <w:sz w:val="28"/>
                <w:szCs w:val="28"/>
              </w:rPr>
            </w:pPr>
            <w:r>
              <w:rPr>
                <w:rFonts w:hint="eastAsia" w:ascii="仿宋" w:hAnsi="仿宋" w:eastAsia="仿宋" w:cs="仿宋"/>
                <w:kern w:val="0"/>
                <w:sz w:val="28"/>
                <w:szCs w:val="28"/>
                <w:lang w:val="en-US" w:eastAsia="zh-CN"/>
              </w:rPr>
              <w:t>重要技术条款响应（25分）</w:t>
            </w:r>
          </w:p>
        </w:tc>
        <w:tc>
          <w:tcPr>
            <w:tcW w:w="5212" w:type="dxa"/>
            <w:noWrap w:val="0"/>
            <w:vAlign w:val="top"/>
          </w:tcPr>
          <w:p>
            <w:pPr>
              <w:pStyle w:val="6"/>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根据各投标人对采购文件技术要求中“▲”条款（共5条）的响应程度进行评分：全部响应得25分，每有一项不响应的扣5分。</w:t>
            </w:r>
          </w:p>
          <w:p>
            <w:pPr>
              <w:pStyle w:val="6"/>
              <w:keepNext w:val="0"/>
              <w:keepLines w:val="0"/>
              <w:pageBreakBefore w:val="0"/>
              <w:widowControl/>
              <w:kinsoku/>
              <w:wordWrap/>
              <w:overflowPunct/>
              <w:topLinePunct w:val="0"/>
              <w:autoSpaceDE/>
              <w:autoSpaceDN/>
              <w:bidi w:val="0"/>
              <w:adjustRightInd/>
              <w:snapToGrid/>
              <w:ind w:firstLine="560" w:firstLineChars="200"/>
              <w:jc w:val="both"/>
              <w:textAlignment w:val="auto"/>
              <w:rPr>
                <w:sz w:val="28"/>
                <w:szCs w:val="28"/>
              </w:rPr>
            </w:pPr>
            <w:r>
              <w:rPr>
                <w:rFonts w:hint="eastAsia" w:ascii="仿宋" w:hAnsi="仿宋" w:eastAsia="仿宋" w:cs="仿宋"/>
                <w:sz w:val="28"/>
                <w:szCs w:val="28"/>
                <w:lang w:val="en-US" w:eastAsia="zh-CN"/>
              </w:rPr>
              <w:t xml:space="preserve">所有投标人须提供投标产品彩页及相应技术参数的厂家使用说明书作为技术证明文件，否则采购人有权视相应技术参数响应不符合采购要求（如厂家的产品使用说明书为英文版，请同时提供中文版）。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continue"/>
            <w:noWrap w:val="0"/>
            <w:vAlign w:val="top"/>
          </w:tcPr>
          <w:p>
            <w:pPr>
              <w:jc w:val="center"/>
              <w:rPr>
                <w:sz w:val="28"/>
                <w:szCs w:val="28"/>
              </w:rPr>
            </w:pPr>
          </w:p>
        </w:tc>
        <w:tc>
          <w:tcPr>
            <w:tcW w:w="2376" w:type="dxa"/>
            <w:noWrap w:val="0"/>
            <w:vAlign w:val="top"/>
          </w:tcPr>
          <w:p>
            <w:pPr>
              <w:ind w:left="0" w:leftChars="0" w:firstLine="0" w:firstLineChars="0"/>
              <w:jc w:val="left"/>
              <w:rPr>
                <w:sz w:val="28"/>
                <w:szCs w:val="28"/>
              </w:rPr>
            </w:pPr>
            <w:r>
              <w:rPr>
                <w:rFonts w:hint="eastAsia" w:ascii="仿宋" w:hAnsi="仿宋" w:eastAsia="仿宋" w:cs="仿宋"/>
                <w:kern w:val="0"/>
                <w:sz w:val="28"/>
                <w:szCs w:val="28"/>
                <w:lang w:val="en-US" w:eastAsia="zh-CN"/>
              </w:rPr>
              <w:t>所投货物技术参数及性能与技术规格要求的符合性（17分）</w:t>
            </w:r>
          </w:p>
        </w:tc>
        <w:tc>
          <w:tcPr>
            <w:tcW w:w="5212" w:type="dxa"/>
            <w:noWrap w:val="0"/>
            <w:vAlign w:val="top"/>
          </w:tcPr>
          <w:p>
            <w:pPr>
              <w:pStyle w:val="6"/>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根据各投标人对采购文件技术要求中一般条款（共17条）的响应程度进行评分： 全部响应得17分，每有一项不响应的扣1分。 </w:t>
            </w:r>
          </w:p>
          <w:p>
            <w:pPr>
              <w:pStyle w:val="6"/>
              <w:keepNext w:val="0"/>
              <w:keepLines w:val="0"/>
              <w:pageBreakBefore w:val="0"/>
              <w:widowControl/>
              <w:kinsoku/>
              <w:wordWrap/>
              <w:overflowPunct/>
              <w:topLinePunct w:val="0"/>
              <w:autoSpaceDE/>
              <w:autoSpaceDN/>
              <w:bidi w:val="0"/>
              <w:adjustRightInd/>
              <w:snapToGrid/>
              <w:ind w:firstLine="560" w:firstLineChars="200"/>
              <w:jc w:val="both"/>
              <w:textAlignment w:val="auto"/>
            </w:pPr>
            <w:r>
              <w:rPr>
                <w:rFonts w:hint="eastAsia" w:ascii="仿宋" w:hAnsi="仿宋" w:eastAsia="仿宋" w:cs="仿宋"/>
                <w:sz w:val="28"/>
                <w:szCs w:val="28"/>
                <w:lang w:val="en-US" w:eastAsia="zh-CN"/>
              </w:rPr>
              <w:t>所有投标人须提供投标产品彩页及相应技术参数的厂家使用说明书作为技术证明文件，否则采购人有权视相应技术参数响应不符合采购要求（如厂家的产品使用说明书为英文版，请同时提供中文版）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continue"/>
            <w:noWrap w:val="0"/>
            <w:vAlign w:val="top"/>
          </w:tcPr>
          <w:p>
            <w:pPr>
              <w:jc w:val="center"/>
              <w:rPr>
                <w:sz w:val="28"/>
                <w:szCs w:val="28"/>
              </w:rPr>
            </w:pPr>
          </w:p>
        </w:tc>
        <w:tc>
          <w:tcPr>
            <w:tcW w:w="2376" w:type="dxa"/>
            <w:noWrap w:val="0"/>
            <w:vAlign w:val="top"/>
          </w:tcPr>
          <w:p>
            <w:pPr>
              <w:ind w:left="0" w:leftChars="0" w:firstLine="0" w:firstLineChars="0"/>
              <w:jc w:val="left"/>
              <w:rPr>
                <w:rFonts w:hint="eastAsia"/>
                <w:sz w:val="28"/>
                <w:szCs w:val="28"/>
              </w:rPr>
            </w:pPr>
            <w:r>
              <w:rPr>
                <w:rFonts w:hint="eastAsia" w:ascii="仿宋" w:hAnsi="仿宋" w:eastAsia="仿宋" w:cs="仿宋"/>
                <w:kern w:val="0"/>
                <w:sz w:val="28"/>
                <w:szCs w:val="28"/>
                <w:lang w:val="en-US" w:eastAsia="zh-CN"/>
              </w:rPr>
              <w:t>质量保证方案 (6.0分)，（等次分值选择：0.0;2.0;4.0;6.0;）</w:t>
            </w:r>
          </w:p>
        </w:tc>
        <w:tc>
          <w:tcPr>
            <w:tcW w:w="5212" w:type="dxa"/>
            <w:noWrap w:val="0"/>
            <w:vAlign w:val="top"/>
          </w:tcPr>
          <w:p>
            <w:pPr>
              <w:pStyle w:val="6"/>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根据投标人针对本项目所提供的质量保证方案，方案内容包括但不限于质保年限、质量保证目标、质量保障措施等内容、提供备品备件服务等内容进行评审：</w:t>
            </w:r>
          </w:p>
          <w:p>
            <w:pPr>
              <w:pStyle w:val="6"/>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投标人所提供的质保年限和质量保证目标、质量保障措施方案内容详细，有完整合理的部署规划，有安排人员负责响应采购人的维修要求及服务过程中的沟通，有完整可行操作的维修处理方法，对日常维修和应急情况响应及时，优于或完全满足项目要求的得6分；</w:t>
            </w:r>
          </w:p>
          <w:p>
            <w:pPr>
              <w:pStyle w:val="6"/>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投标人所提供的质保年限和质量保证目标、质量保障措施方案基本完整，部署规划基本合理，有安排人员负责响应采购人的维修要求及服务过程中的沟通，维修处理方法基本合理可行，对日常维修和应急情况响应较及时，基本满足项目要求的得4分；</w:t>
            </w:r>
          </w:p>
          <w:p>
            <w:pPr>
              <w:pStyle w:val="6"/>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投标人只提供了简单的售后服务方案，投标人有提供质保期年限和质量保证目标、质量保障措施方案，但内容不详细，部署规划不合理，有人员响应采购人的维修要求及服务过程中的沟通，有基本的操作的维修处理方法，对日常维修和应急情况响应不及时，部分满足项目要求的得2分；</w:t>
            </w:r>
          </w:p>
          <w:p>
            <w:pPr>
              <w:pStyle w:val="6"/>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eastAsia"/>
              </w:rPr>
            </w:pPr>
            <w:r>
              <w:rPr>
                <w:rFonts w:hint="eastAsia" w:ascii="仿宋" w:hAnsi="仿宋" w:eastAsia="仿宋" w:cs="仿宋"/>
                <w:sz w:val="28"/>
                <w:szCs w:val="28"/>
                <w:lang w:val="en-US" w:eastAsia="zh-CN"/>
              </w:rPr>
              <w:t>④不提供的不得分。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continue"/>
            <w:noWrap w:val="0"/>
            <w:vAlign w:val="top"/>
          </w:tcPr>
          <w:p>
            <w:pPr>
              <w:jc w:val="center"/>
              <w:rPr>
                <w:sz w:val="28"/>
                <w:szCs w:val="28"/>
              </w:rPr>
            </w:pPr>
          </w:p>
        </w:tc>
        <w:tc>
          <w:tcPr>
            <w:tcW w:w="2376" w:type="dxa"/>
            <w:noWrap w:val="0"/>
            <w:vAlign w:val="top"/>
          </w:tcPr>
          <w:p>
            <w:pPr>
              <w:ind w:left="0" w:leftChars="0" w:firstLine="0" w:firstLineChars="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项目实施方案 (4.0分)，（等次分值选择：0.0;1.0;2.0;4.0;）</w:t>
            </w:r>
          </w:p>
        </w:tc>
        <w:tc>
          <w:tcPr>
            <w:tcW w:w="5212" w:type="dxa"/>
            <w:noWrap w:val="0"/>
            <w:vAlign w:val="top"/>
          </w:tcPr>
          <w:p>
            <w:pPr>
              <w:pStyle w:val="6"/>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根据投标人针对本项目所提供的</w:t>
            </w:r>
            <w:r>
              <w:rPr>
                <w:rFonts w:hint="eastAsia" w:ascii="仿宋" w:hAnsi="仿宋" w:eastAsia="仿宋" w:cs="仿宋"/>
                <w:sz w:val="28"/>
                <w:szCs w:val="28"/>
                <w:lang w:val="en-US" w:eastAsia="zh-CN"/>
              </w:rPr>
              <w:t>项目实施方案（不包括售后服务和培训方案），包括但不限于项目到货计划、项目实施计划、项目运输保障、安装调试（如计划步骤、人员安排等）等内容进行评审：</w:t>
            </w:r>
          </w:p>
          <w:p>
            <w:pPr>
              <w:pStyle w:val="6"/>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①投标人针对本项目有明确具体的计划安排、对每个标的设备的运输过程有针对性保障手段、设备到场时的专人安装调试有明确的安排措施，优于或完全满足采购需求得4分；</w:t>
            </w:r>
          </w:p>
          <w:p>
            <w:pPr>
              <w:pStyle w:val="6"/>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②投标人针对本项目有明确的计划安排、对设备的运输过程有基本的保障手段、设备到场时的专人安装调试有基本的安排措施，基本满足采购需求得2分；</w:t>
            </w:r>
          </w:p>
          <w:p>
            <w:pPr>
              <w:pStyle w:val="6"/>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③投标人针对本项目有简单的计划安排、对设备的运输过程有简单的保障手段、设备到场时的专人安装调试有简单的安排措施，部分满足采购需求得1分；</w:t>
            </w:r>
          </w:p>
          <w:p>
            <w:pPr>
              <w:pStyle w:val="6"/>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eastAsia"/>
              </w:rPr>
            </w:pPr>
            <w:r>
              <w:rPr>
                <w:rFonts w:hint="eastAsia" w:ascii="仿宋" w:hAnsi="仿宋" w:eastAsia="仿宋" w:cs="仿宋"/>
                <w:sz w:val="28"/>
                <w:szCs w:val="28"/>
                <w:lang w:val="en-US" w:eastAsia="zh-CN"/>
              </w:rPr>
              <w:t>④不提供的不得分。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continue"/>
            <w:noWrap w:val="0"/>
            <w:vAlign w:val="top"/>
          </w:tcPr>
          <w:p>
            <w:pPr>
              <w:jc w:val="center"/>
              <w:rPr>
                <w:sz w:val="28"/>
                <w:szCs w:val="28"/>
              </w:rPr>
            </w:pPr>
          </w:p>
        </w:tc>
        <w:tc>
          <w:tcPr>
            <w:tcW w:w="2376" w:type="dxa"/>
            <w:noWrap w:val="0"/>
            <w:vAlign w:val="top"/>
          </w:tcPr>
          <w:p>
            <w:pPr>
              <w:ind w:left="0" w:leftChars="0" w:firstLine="0" w:firstLineChars="0"/>
              <w:jc w:val="left"/>
              <w:rPr>
                <w:rFonts w:hint="eastAsia"/>
                <w:sz w:val="28"/>
                <w:szCs w:val="28"/>
              </w:rPr>
            </w:pPr>
            <w:r>
              <w:rPr>
                <w:rFonts w:hint="eastAsia" w:ascii="仿宋" w:hAnsi="仿宋" w:eastAsia="仿宋" w:cs="仿宋"/>
                <w:kern w:val="0"/>
                <w:sz w:val="28"/>
                <w:szCs w:val="28"/>
                <w:lang w:val="en-US" w:eastAsia="zh-CN"/>
              </w:rPr>
              <w:t>培训方案 (4.0分)，（等次分值选择：0.0;1.0;2.0;4.0;）</w:t>
            </w:r>
          </w:p>
        </w:tc>
        <w:tc>
          <w:tcPr>
            <w:tcW w:w="5212" w:type="dxa"/>
            <w:noWrap w:val="0"/>
            <w:vAlign w:val="top"/>
          </w:tcPr>
          <w:p>
            <w:pPr>
              <w:pStyle w:val="6"/>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投标人根据产品特点及保养事项对采购人所使用设备人员提供设备操作及操作过程中注意事项等内容进行培训：</w:t>
            </w:r>
          </w:p>
          <w:p>
            <w:pPr>
              <w:pStyle w:val="6"/>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投标人针对本项目为采购人提供有专人指导和简单上手的设备操作培训课程安排，有明确的课程及培训内容安排，对设备的操作过程中注意事项有详细指引，对特殊情况（如设备反复重启，操作失灵，错误操作等情况）有图文详解及完整应对培训的，得4分；</w:t>
            </w:r>
          </w:p>
          <w:p>
            <w:pPr>
              <w:pStyle w:val="6"/>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②投标人针对本项目为采购人提供有专人指导和简单上手的设备操作培训课程安排，有简单的课程及培训内容安排，对设备的操作过程中注意事项有基本操作指引，得2分；</w:t>
            </w:r>
          </w:p>
          <w:p>
            <w:pPr>
              <w:pStyle w:val="6"/>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③投标人提供指导和培训课程安排简单含糊，课程及培训内容安排不明确，对操作培训含糊其辞，得1分； </w:t>
            </w:r>
          </w:p>
          <w:p>
            <w:pPr>
              <w:pStyle w:val="6"/>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eastAsia"/>
              </w:rPr>
            </w:pPr>
            <w:r>
              <w:rPr>
                <w:rFonts w:hint="eastAsia" w:ascii="仿宋" w:hAnsi="仿宋" w:eastAsia="仿宋" w:cs="仿宋"/>
                <w:sz w:val="28"/>
                <w:szCs w:val="28"/>
                <w:lang w:val="en-US" w:eastAsia="zh-CN"/>
              </w:rPr>
              <w:t>④不提供的不得分。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restart"/>
            <w:noWrap w:val="0"/>
            <w:vAlign w:val="top"/>
          </w:tcPr>
          <w:p>
            <w:pPr>
              <w:ind w:left="0" w:leftChars="0" w:firstLine="0" w:firstLineChars="0"/>
              <w:jc w:val="both"/>
              <w:rPr>
                <w:sz w:val="28"/>
                <w:szCs w:val="28"/>
              </w:rPr>
            </w:pPr>
            <w:r>
              <w:rPr>
                <w:rFonts w:hint="eastAsia"/>
                <w:sz w:val="28"/>
                <w:szCs w:val="28"/>
                <w:lang w:val="en-US" w:eastAsia="zh-CN"/>
              </w:rPr>
              <w:t>商务</w:t>
            </w:r>
            <w:r>
              <w:rPr>
                <w:sz w:val="28"/>
                <w:szCs w:val="28"/>
              </w:rPr>
              <w:t>部分</w:t>
            </w:r>
          </w:p>
        </w:tc>
        <w:tc>
          <w:tcPr>
            <w:tcW w:w="2376" w:type="dxa"/>
            <w:noWrap w:val="0"/>
            <w:vAlign w:val="top"/>
          </w:tcPr>
          <w:p>
            <w:pPr>
              <w:ind w:left="0" w:leftChars="0" w:firstLine="0" w:firstLineChars="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投标人的信用、体系认证情况（3.0分）</w:t>
            </w:r>
          </w:p>
        </w:tc>
        <w:tc>
          <w:tcPr>
            <w:tcW w:w="5212" w:type="dxa"/>
            <w:noWrap w:val="0"/>
            <w:vAlign w:val="top"/>
          </w:tcPr>
          <w:p>
            <w:pPr>
              <w:pStyle w:val="6"/>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投标人具有有效期内的有效的质量管理体系认证证书、环境管理体系认证证书、职业健康安全管理体系认证证书，每具备一项认证得1分，最高得3分。提供认证证书扫描件，不提供不得分。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continue"/>
            <w:noWrap w:val="0"/>
            <w:vAlign w:val="top"/>
          </w:tcPr>
          <w:p>
            <w:pPr>
              <w:ind w:left="0" w:leftChars="0" w:firstLine="0" w:firstLineChars="0"/>
              <w:jc w:val="both"/>
              <w:rPr>
                <w:sz w:val="28"/>
                <w:szCs w:val="28"/>
              </w:rPr>
            </w:pPr>
          </w:p>
        </w:tc>
        <w:tc>
          <w:tcPr>
            <w:tcW w:w="2376" w:type="dxa"/>
            <w:noWrap w:val="0"/>
            <w:vAlign w:val="top"/>
          </w:tcPr>
          <w:p>
            <w:pPr>
              <w:ind w:left="0" w:leftChars="0" w:firstLine="0" w:firstLineChars="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售后服务人员配置（3.0分）</w:t>
            </w:r>
          </w:p>
        </w:tc>
        <w:tc>
          <w:tcPr>
            <w:tcW w:w="5212" w:type="dxa"/>
            <w:noWrap w:val="0"/>
            <w:vAlign w:val="top"/>
          </w:tcPr>
          <w:p>
            <w:pPr>
              <w:pStyle w:val="6"/>
              <w:keepNext w:val="0"/>
              <w:keepLines w:val="0"/>
              <w:pageBreakBefore w:val="0"/>
              <w:widowControl/>
              <w:kinsoku/>
              <w:wordWrap/>
              <w:overflowPunct/>
              <w:topLinePunct w:val="0"/>
              <w:autoSpaceDE/>
              <w:autoSpaceDN/>
              <w:bidi w:val="0"/>
              <w:adjustRightInd/>
              <w:snapToGrid/>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投标人售后服务人员具备2年或以上医疗设备维修及管理经验的，每提供一个得1分，本小项最高得3分。 注：同一人只按最高经验计分，投标文件提供：①以上人员关于医疗设备的维修记录或维修报告或证明人员经验的相关证明材料复印件并加盖公章。②投标人为其购买的投标截止时间为止近6个月内任意1个月的社保证明复印件，若依法免缴社保的，提供相关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continue"/>
            <w:noWrap w:val="0"/>
            <w:vAlign w:val="top"/>
          </w:tcPr>
          <w:p>
            <w:pPr>
              <w:rPr>
                <w:sz w:val="28"/>
                <w:szCs w:val="28"/>
              </w:rPr>
            </w:pPr>
          </w:p>
        </w:tc>
        <w:tc>
          <w:tcPr>
            <w:tcW w:w="2376" w:type="dxa"/>
            <w:noWrap w:val="0"/>
            <w:vAlign w:val="top"/>
          </w:tcPr>
          <w:p>
            <w:pPr>
              <w:ind w:left="0" w:leftChars="0" w:firstLine="0" w:firstLineChars="0"/>
              <w:jc w:val="left"/>
              <w:rPr>
                <w:sz w:val="28"/>
                <w:szCs w:val="28"/>
              </w:rPr>
            </w:pPr>
            <w:r>
              <w:rPr>
                <w:rFonts w:hint="eastAsia" w:ascii="仿宋" w:hAnsi="仿宋" w:eastAsia="仿宋" w:cs="仿宋"/>
                <w:kern w:val="0"/>
                <w:sz w:val="28"/>
                <w:szCs w:val="28"/>
                <w:lang w:val="en-US" w:eastAsia="zh-CN"/>
              </w:rPr>
              <w:t>投标人同类微波治疗仪设备供货业绩的评审（3.0分）</w:t>
            </w:r>
          </w:p>
        </w:tc>
        <w:tc>
          <w:tcPr>
            <w:tcW w:w="5212" w:type="dxa"/>
            <w:noWrap w:val="0"/>
            <w:vAlign w:val="top"/>
          </w:tcPr>
          <w:p>
            <w:pPr>
              <w:pStyle w:val="6"/>
              <w:keepNext w:val="0"/>
              <w:keepLines w:val="0"/>
              <w:pageBreakBefore w:val="0"/>
              <w:widowControl/>
              <w:kinsoku/>
              <w:wordWrap/>
              <w:overflowPunct/>
              <w:topLinePunct w:val="0"/>
              <w:autoSpaceDE/>
              <w:autoSpaceDN/>
              <w:bidi w:val="0"/>
              <w:adjustRightInd/>
              <w:snapToGrid/>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2023年1月1日至今投标人具有同类设备供货项目业绩，每提供1个业绩，得1分，最高得3分 (提供合同复印件，以签订合同的时间为准，不提供不得分）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continue"/>
            <w:noWrap w:val="0"/>
            <w:vAlign w:val="top"/>
          </w:tcPr>
          <w:p>
            <w:pPr>
              <w:rPr>
                <w:sz w:val="28"/>
                <w:szCs w:val="28"/>
              </w:rPr>
            </w:pPr>
          </w:p>
        </w:tc>
        <w:tc>
          <w:tcPr>
            <w:tcW w:w="2376" w:type="dxa"/>
            <w:noWrap w:val="0"/>
            <w:vAlign w:val="top"/>
          </w:tcPr>
          <w:p>
            <w:pPr>
              <w:pStyle w:val="6"/>
              <w:jc w:val="left"/>
              <w:rPr>
                <w:rFonts w:hint="eastAsia" w:ascii="仿宋" w:hAnsi="仿宋" w:eastAsia="仿宋" w:cs="仿宋"/>
                <w:sz w:val="28"/>
                <w:szCs w:val="28"/>
              </w:rPr>
            </w:pPr>
            <w:r>
              <w:rPr>
                <w:rFonts w:hint="eastAsia" w:ascii="仿宋" w:hAnsi="仿宋" w:eastAsia="仿宋" w:cs="仿宋"/>
                <w:sz w:val="28"/>
                <w:szCs w:val="28"/>
              </w:rPr>
              <w:t>产品授权证明 (</w:t>
            </w:r>
            <w:r>
              <w:rPr>
                <w:rFonts w:hint="eastAsia" w:ascii="仿宋" w:hAnsi="仿宋" w:eastAsia="仿宋" w:cs="仿宋"/>
                <w:sz w:val="28"/>
                <w:szCs w:val="28"/>
                <w:lang w:val="en-US" w:eastAsia="zh-CN"/>
              </w:rPr>
              <w:t>5</w:t>
            </w:r>
            <w:r>
              <w:rPr>
                <w:rFonts w:hint="eastAsia" w:ascii="仿宋" w:hAnsi="仿宋" w:eastAsia="仿宋" w:cs="仿宋"/>
                <w:sz w:val="28"/>
                <w:szCs w:val="28"/>
              </w:rPr>
              <w:t>.0分)</w:t>
            </w:r>
          </w:p>
        </w:tc>
        <w:tc>
          <w:tcPr>
            <w:tcW w:w="5212" w:type="dxa"/>
            <w:noWrap w:val="0"/>
            <w:vAlign w:val="top"/>
          </w:tcPr>
          <w:p>
            <w:pPr>
              <w:pStyle w:val="6"/>
              <w:keepNext w:val="0"/>
              <w:keepLines w:val="0"/>
              <w:pageBreakBefore w:val="0"/>
              <w:widowControl/>
              <w:kinsoku/>
              <w:wordWrap/>
              <w:overflowPunct/>
              <w:topLinePunct w:val="0"/>
              <w:autoSpaceDE/>
              <w:autoSpaceDN/>
              <w:bidi w:val="0"/>
              <w:adjustRightInd/>
              <w:snapToGrid/>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为了保证核心产品具有追溯性且保证质量，投标人为代理商投标响应的，提供生产企业出具的有效授权证明，得5分，若投标人为生产企业投标的（需提供相关证明文件）也得5分，其他不得分。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noWrap w:val="0"/>
            <w:vAlign w:val="top"/>
          </w:tcPr>
          <w:p>
            <w:pPr>
              <w:ind w:left="0" w:leftChars="0" w:firstLine="0" w:firstLineChars="0"/>
              <w:jc w:val="both"/>
              <w:rPr>
                <w:sz w:val="28"/>
                <w:szCs w:val="28"/>
              </w:rPr>
            </w:pPr>
            <w:r>
              <w:rPr>
                <w:rFonts w:hint="eastAsia"/>
                <w:sz w:val="28"/>
                <w:szCs w:val="28"/>
                <w:lang w:val="en-US" w:eastAsia="zh-CN"/>
              </w:rPr>
              <w:t>投标</w:t>
            </w:r>
            <w:r>
              <w:rPr>
                <w:sz w:val="28"/>
                <w:szCs w:val="28"/>
              </w:rPr>
              <w:t>报价</w:t>
            </w:r>
          </w:p>
        </w:tc>
        <w:tc>
          <w:tcPr>
            <w:tcW w:w="2376" w:type="dxa"/>
            <w:noWrap w:val="0"/>
            <w:vAlign w:val="top"/>
          </w:tcPr>
          <w:p>
            <w:pPr>
              <w:ind w:left="0" w:leftChars="0" w:firstLine="0" w:firstLineChars="0"/>
              <w:jc w:val="left"/>
              <w:rPr>
                <w:sz w:val="28"/>
                <w:szCs w:val="28"/>
              </w:rPr>
            </w:pPr>
            <w:r>
              <w:rPr>
                <w:rFonts w:hint="eastAsia" w:ascii="仿宋" w:hAnsi="仿宋" w:eastAsia="仿宋" w:cs="仿宋"/>
                <w:kern w:val="0"/>
                <w:sz w:val="28"/>
                <w:szCs w:val="28"/>
                <w:lang w:val="en-US" w:eastAsia="zh-CN"/>
              </w:rPr>
              <w:t>投标报价得分 (30.0分)</w:t>
            </w:r>
          </w:p>
        </w:tc>
        <w:tc>
          <w:tcPr>
            <w:tcW w:w="5212" w:type="dxa"/>
            <w:noWrap w:val="0"/>
            <w:vAlign w:val="top"/>
          </w:tcPr>
          <w:p>
            <w:pPr>
              <w:keepNext w:val="0"/>
              <w:keepLines w:val="0"/>
              <w:pageBreakBefore w:val="0"/>
              <w:widowControl w:val="0"/>
              <w:kinsoku/>
              <w:wordWrap/>
              <w:overflowPunct/>
              <w:topLinePunct w:val="0"/>
              <w:autoSpaceDE/>
              <w:autoSpaceDN/>
              <w:bidi w:val="0"/>
              <w:adjustRightInd/>
              <w:snapToGrid/>
              <w:jc w:val="both"/>
              <w:textAlignment w:val="auto"/>
            </w:pPr>
            <w:r>
              <w:rPr>
                <w:rFonts w:hint="eastAsia" w:ascii="仿宋" w:hAnsi="仿宋" w:eastAsia="仿宋" w:cs="仿宋"/>
                <w:kern w:val="0"/>
                <w:sz w:val="28"/>
                <w:szCs w:val="28"/>
                <w:lang w:val="en-US" w:eastAsia="zh-CN"/>
              </w:rPr>
              <w:t>投标报价得分(30.0分)：投标报价得分＝（基准价/报价）×价格分值【注：（1）满足招标文件要求且投标价格最低的投标报价为评标基准价。最低报价不是中标的唯一依据。（2）投标报价=供应商的设备金额+两年内的专机专用耗材金额，一年内的专机专用耗材预估使用量为1390支，其中肝胆消融预估500支，甲状腺消融预估890支。原则上各品牌每个适用症的消融针统一报一个价格（即适合肝胆消融的一个价格，适合甲状腺消融的一个价格），如同一个适用症有多个报价时取最高报价计算得分；（3）上述耗材预估使用量仅为本项目评审价格计算用，并非采购人耗材使用量的承诺。若投标人不对耗材进行报价，采购人有权视为投标人对本项目报价响应缺漏，可能导致投标无效。】</w:t>
            </w:r>
          </w:p>
        </w:tc>
      </w:tr>
    </w:tbl>
    <w:p>
      <w:pPr>
        <w:pStyle w:val="2"/>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59CA0"/>
    <w:multiLevelType w:val="singleLevel"/>
    <w:tmpl w:val="3F259CA0"/>
    <w:lvl w:ilvl="0" w:tentative="0">
      <w:start w:val="2"/>
      <w:numFmt w:val="decimal"/>
      <w:lvlText w:val="%1."/>
      <w:lvlJc w:val="left"/>
      <w:pPr>
        <w:tabs>
          <w:tab w:val="left" w:pos="312"/>
        </w:tabs>
      </w:pPr>
    </w:lvl>
  </w:abstractNum>
  <w:abstractNum w:abstractNumId="1">
    <w:nsid w:val="5FA2B9EC"/>
    <w:multiLevelType w:val="singleLevel"/>
    <w:tmpl w:val="5FA2B9EC"/>
    <w:lvl w:ilvl="0" w:tentative="0">
      <w:start w:val="1"/>
      <w:numFmt w:val="chineseCounting"/>
      <w:suff w:val="nothing"/>
      <w:lvlText w:val="%1、"/>
      <w:lvlJc w:val="left"/>
      <w:rPr>
        <w:rFonts w:hint="eastAsia"/>
      </w:rPr>
    </w:lvl>
  </w:abstractNum>
  <w:abstractNum w:abstractNumId="2">
    <w:nsid w:val="7C23EAD1"/>
    <w:multiLevelType w:val="singleLevel"/>
    <w:tmpl w:val="7C23EAD1"/>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601E8"/>
    <w:rsid w:val="02791C11"/>
    <w:rsid w:val="05E62CD5"/>
    <w:rsid w:val="06A8623F"/>
    <w:rsid w:val="07FE73D8"/>
    <w:rsid w:val="08503AED"/>
    <w:rsid w:val="0B9A1C74"/>
    <w:rsid w:val="0E8574A3"/>
    <w:rsid w:val="0EF51E73"/>
    <w:rsid w:val="110E146A"/>
    <w:rsid w:val="130162A4"/>
    <w:rsid w:val="164305A1"/>
    <w:rsid w:val="1C8C2216"/>
    <w:rsid w:val="1F1E1AB5"/>
    <w:rsid w:val="25213F83"/>
    <w:rsid w:val="29396BA7"/>
    <w:rsid w:val="2B8B1CC1"/>
    <w:rsid w:val="2C784F41"/>
    <w:rsid w:val="30D22344"/>
    <w:rsid w:val="3BF01B46"/>
    <w:rsid w:val="3C206998"/>
    <w:rsid w:val="3DA51B42"/>
    <w:rsid w:val="3EE15110"/>
    <w:rsid w:val="43387A76"/>
    <w:rsid w:val="48CD64EC"/>
    <w:rsid w:val="536E5956"/>
    <w:rsid w:val="57A6388A"/>
    <w:rsid w:val="5AFA32C9"/>
    <w:rsid w:val="5CE0749A"/>
    <w:rsid w:val="63F222F5"/>
    <w:rsid w:val="65736011"/>
    <w:rsid w:val="673167CE"/>
    <w:rsid w:val="6CD11987"/>
    <w:rsid w:val="76D74D5E"/>
    <w:rsid w:val="7C5601E8"/>
    <w:rsid w:val="7CFE37BE"/>
    <w:rsid w:val="7FA66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641"/>
      <w:jc w:val="both"/>
    </w:pPr>
    <w:rPr>
      <w:rFonts w:ascii="Times New Roman" w:hAnsi="Times New Roman" w:eastAsia="仿宋_GB2312" w:cs="Times New Roman"/>
      <w:kern w:val="2"/>
      <w:sz w:val="32"/>
      <w:szCs w:val="22"/>
      <w:lang w:val="en-US" w:eastAsia="zh-CN" w:bidi="ar-SA"/>
    </w:rPr>
  </w:style>
  <w:style w:type="paragraph" w:styleId="3">
    <w:name w:val="heading 3"/>
    <w:basedOn w:val="1"/>
    <w:next w:val="1"/>
    <w:qFormat/>
    <w:uiPriority w:val="0"/>
    <w:pPr>
      <w:keepNext/>
      <w:outlineLvl w:val="2"/>
    </w:pPr>
    <w:rPr>
      <w:rFonts w:ascii="楷体_GB2312" w:hAnsi="宋体" w:eastAsia="黑体"/>
      <w:b/>
      <w:bCs/>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napToGrid w:val="0"/>
      <w:spacing w:before="25" w:after="25"/>
    </w:pPr>
    <w:rPr>
      <w:rFonts w:ascii="Calibri" w:hAnsi="Calibri" w:eastAsia="Calibri"/>
      <w:bCs/>
      <w:spacing w:val="10"/>
      <w:sz w:val="24"/>
      <w:szCs w:val="20"/>
      <w:lang w:eastAsia="en-US"/>
    </w:rPr>
  </w:style>
  <w:style w:type="paragraph" w:customStyle="1" w:styleId="6">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2025-06-17T01:14:00Z</dcterms:created>
  <dc:creator>醒姑娘</dc:creator>
  <cp:lastModifiedBy>醒姑娘</cp:lastModifiedBy>
  <dcterms:modified xsi:type="dcterms:W3CDTF">2025-06-17T08:17:20Z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