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b w:val="0"/>
          <w:bCs w:val="0"/>
          <w:color w:val="auto"/>
          <w:highlight w:val="none"/>
          <w:lang w:val="en-US" w:eastAsia="zh-CN"/>
        </w:rPr>
      </w:pPr>
      <w:r>
        <w:rPr>
          <w:rFonts w:hint="eastAsia"/>
          <w:b w:val="0"/>
          <w:bCs w:val="0"/>
          <w:color w:val="auto"/>
          <w:highlight w:val="none"/>
          <w:lang w:val="en-US" w:eastAsia="zh-CN"/>
        </w:rPr>
        <w:t>附件</w:t>
      </w:r>
      <w:r>
        <w:rPr>
          <w:rFonts w:hint="eastAsia" w:ascii="仿宋_GB2312" w:hAnsi="仿宋_GB2312" w:cs="仿宋_GB2312"/>
          <w:b w:val="0"/>
          <w:bCs w:val="0"/>
          <w:color w:val="auto"/>
          <w:highlight w:val="none"/>
          <w:lang w:val="en-US" w:eastAsia="zh-CN"/>
        </w:rPr>
        <w:t>2</w:t>
      </w:r>
      <w:r>
        <w:rPr>
          <w:rFonts w:hint="eastAsia" w:ascii="仿宋_GB2312" w:hAnsi="仿宋_GB2312" w:eastAsia="仿宋_GB2312" w:cs="仿宋_GB2312"/>
          <w:b w:val="0"/>
          <w:bCs w:val="0"/>
          <w:color w:val="auto"/>
          <w:highlight w:val="none"/>
          <w:lang w:val="en-US" w:eastAsia="zh-CN"/>
        </w:rPr>
        <w:t>：</w:t>
      </w:r>
    </w:p>
    <w:p>
      <w:pPr>
        <w:pStyle w:val="2"/>
        <w:ind w:firstLine="0"/>
        <w:jc w:val="center"/>
        <w:rPr>
          <w:rFonts w:hint="default"/>
          <w:color w:val="auto"/>
          <w:lang w:val="en-US" w:eastAsia="zh-CN"/>
        </w:rPr>
      </w:pPr>
      <w:r>
        <w:rPr>
          <w:rFonts w:hint="eastAsia"/>
          <w:color w:val="auto"/>
          <w:lang w:val="en-US" w:eastAsia="zh-CN"/>
        </w:rPr>
        <w:t>可视支气管镜（二）</w:t>
      </w:r>
      <w:r>
        <w:rPr>
          <w:rFonts w:hint="eastAsia"/>
          <w:color w:val="auto"/>
          <w:lang w:eastAsia="zh-CN"/>
        </w:rPr>
        <w:t>参数配置要求</w:t>
      </w:r>
    </w:p>
    <w:p>
      <w:pPr>
        <w:pStyle w:val="2"/>
        <w:rPr>
          <w:rFonts w:hint="eastAsia" w:ascii="仿宋" w:hAnsi="仿宋" w:eastAsia="仿宋" w:cs="Arial"/>
          <w:b/>
          <w:bCs/>
          <w:sz w:val="32"/>
          <w:szCs w:val="32"/>
          <w:lang w:val="en-US" w:eastAsia="zh-CN"/>
        </w:rPr>
      </w:pPr>
      <w:r>
        <w:rPr>
          <w:rFonts w:hint="eastAsia" w:ascii="仿宋" w:hAnsi="仿宋" w:eastAsia="仿宋" w:cs="Arial"/>
          <w:b/>
          <w:bCs/>
          <w:sz w:val="32"/>
          <w:szCs w:val="32"/>
          <w:lang w:val="en-US" w:eastAsia="zh-CN"/>
        </w:rPr>
        <w:t>设备2（适用新生儿科）</w:t>
      </w:r>
    </w:p>
    <w:tbl>
      <w:tblPr>
        <w:tblStyle w:val="4"/>
        <w:tblW w:w="91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0"/>
        <w:gridCol w:w="564"/>
        <w:gridCol w:w="63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vAlign w:val="center"/>
          </w:tcPr>
          <w:p>
            <w:pPr>
              <w:pStyle w:val="7"/>
              <w:jc w:val="center"/>
              <w:rPr>
                <w:rFonts w:hint="eastAsia" w:ascii="宋体" w:hAnsi="宋体" w:eastAsia="宋体" w:cs="宋体"/>
                <w:sz w:val="20"/>
                <w:szCs w:val="20"/>
              </w:rPr>
            </w:pPr>
            <w:r>
              <w:rPr>
                <w:rFonts w:hint="eastAsia" w:ascii="宋体" w:hAnsi="宋体" w:eastAsia="宋体" w:cs="宋体"/>
                <w:sz w:val="20"/>
                <w:szCs w:val="20"/>
              </w:rPr>
              <w:t>参数性质</w:t>
            </w:r>
          </w:p>
        </w:tc>
        <w:tc>
          <w:tcPr>
            <w:tcW w:w="564" w:type="dxa"/>
            <w:vAlign w:val="center"/>
          </w:tcPr>
          <w:p>
            <w:pPr>
              <w:pStyle w:val="7"/>
              <w:jc w:val="center"/>
              <w:rPr>
                <w:rFonts w:hint="eastAsia" w:ascii="宋体" w:hAnsi="宋体" w:eastAsia="宋体" w:cs="宋体"/>
                <w:sz w:val="20"/>
                <w:szCs w:val="20"/>
              </w:rPr>
            </w:pPr>
            <w:r>
              <w:rPr>
                <w:rFonts w:hint="eastAsia" w:ascii="宋体" w:hAnsi="宋体" w:eastAsia="宋体" w:cs="宋体"/>
                <w:sz w:val="20"/>
                <w:szCs w:val="20"/>
              </w:rPr>
              <w:t>序号</w:t>
            </w:r>
          </w:p>
        </w:tc>
        <w:tc>
          <w:tcPr>
            <w:tcW w:w="6304" w:type="dxa"/>
            <w:vAlign w:val="center"/>
          </w:tcPr>
          <w:p>
            <w:pPr>
              <w:pStyle w:val="7"/>
              <w:jc w:val="center"/>
              <w:rPr>
                <w:rFonts w:hint="eastAsia" w:ascii="宋体" w:hAnsi="宋体" w:eastAsia="宋体" w:cs="宋体"/>
                <w:sz w:val="20"/>
                <w:szCs w:val="20"/>
              </w:rPr>
            </w:pPr>
            <w:r>
              <w:rPr>
                <w:rFonts w:hint="eastAsia" w:ascii="宋体" w:hAnsi="宋体" w:eastAsia="宋体" w:cs="宋体"/>
                <w:sz w:val="20"/>
                <w:szCs w:val="20"/>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r>
              <w:rPr>
                <w:rFonts w:hint="eastAsia" w:ascii="宋体" w:hAnsi="宋体" w:eastAsia="宋体" w:cs="宋体"/>
                <w:sz w:val="20"/>
                <w:szCs w:val="20"/>
              </w:rPr>
              <w:t>▲</w:t>
            </w:r>
          </w:p>
        </w:tc>
        <w:tc>
          <w:tcPr>
            <w:tcW w:w="564" w:type="dxa"/>
            <w:vAlign w:val="center"/>
          </w:tcPr>
          <w:p>
            <w:pPr>
              <w:pStyle w:val="7"/>
              <w:numPr>
                <w:ilvl w:val="0"/>
                <w:numId w:val="1"/>
              </w:numPr>
              <w:ind w:left="425" w:hanging="425"/>
              <w:jc w:val="both"/>
              <w:rPr>
                <w:rFonts w:hint="eastAsia" w:ascii="宋体" w:hAnsi="宋体" w:eastAsia="宋体" w:cs="宋体"/>
                <w:sz w:val="20"/>
                <w:szCs w:val="20"/>
              </w:rPr>
            </w:pPr>
          </w:p>
        </w:tc>
        <w:tc>
          <w:tcPr>
            <w:tcW w:w="6304" w:type="dxa"/>
          </w:tcPr>
          <w:p>
            <w:pPr>
              <w:pStyle w:val="7"/>
              <w:jc w:val="left"/>
              <w:rPr>
                <w:rFonts w:hint="eastAsia" w:ascii="宋体" w:hAnsi="宋体" w:eastAsia="宋体" w:cs="宋体"/>
                <w:sz w:val="20"/>
                <w:szCs w:val="20"/>
              </w:rPr>
            </w:pPr>
            <w:r>
              <w:rPr>
                <w:rFonts w:hint="eastAsia" w:ascii="宋体" w:hAnsi="宋体" w:eastAsia="宋体" w:cs="宋体"/>
                <w:sz w:val="20"/>
                <w:szCs w:val="20"/>
              </w:rPr>
              <w:t>一、</w:t>
            </w:r>
            <w:r>
              <w:rPr>
                <w:rFonts w:hint="eastAsia" w:ascii="宋体" w:hAnsi="宋体" w:eastAsia="宋体" w:cs="宋体"/>
                <w:sz w:val="20"/>
                <w:szCs w:val="20"/>
                <w:lang w:val="en-US" w:eastAsia="zh-CN"/>
              </w:rPr>
              <w:t>参数</w:t>
            </w:r>
            <w:r>
              <w:rPr>
                <w:rFonts w:hint="eastAsia" w:ascii="宋体" w:hAnsi="宋体" w:eastAsia="宋体" w:cs="宋体"/>
                <w:sz w:val="20"/>
                <w:szCs w:val="20"/>
              </w:rPr>
              <w:t>要求</w:t>
            </w:r>
          </w:p>
          <w:p>
            <w:pPr>
              <w:pStyle w:val="7"/>
              <w:jc w:val="left"/>
              <w:rPr>
                <w:rFonts w:hint="eastAsia" w:ascii="宋体" w:hAnsi="宋体" w:eastAsia="宋体" w:cs="宋体"/>
                <w:sz w:val="20"/>
                <w:szCs w:val="20"/>
              </w:rPr>
            </w:pPr>
            <w:r>
              <w:rPr>
                <w:rFonts w:hint="eastAsia" w:ascii="宋体" w:hAnsi="宋体" w:eastAsia="宋体" w:cs="宋体"/>
                <w:sz w:val="20"/>
                <w:szCs w:val="20"/>
              </w:rPr>
              <w:t>1、前端弯曲角度双向≥180°，向上≥125°，向下≥125°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2250" w:type="dxa"/>
          </w:tcPr>
          <w:p>
            <w:pPr>
              <w:rPr>
                <w:rFonts w:hint="eastAsia" w:ascii="宋体" w:hAnsi="宋体" w:eastAsia="宋体" w:cs="宋体"/>
                <w:sz w:val="20"/>
                <w:szCs w:val="20"/>
              </w:rPr>
            </w:pPr>
            <w:r>
              <w:rPr>
                <w:rFonts w:hint="eastAsia" w:ascii="宋体" w:hAnsi="宋体" w:eastAsia="宋体" w:cs="宋体"/>
                <w:sz w:val="20"/>
                <w:szCs w:val="20"/>
              </w:rPr>
              <w:t>▲</w:t>
            </w: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vAlign w:val="center"/>
          </w:tcPr>
          <w:p>
            <w:pPr>
              <w:pStyle w:val="7"/>
              <w:jc w:val="left"/>
              <w:rPr>
                <w:rFonts w:hint="eastAsia" w:ascii="宋体" w:hAnsi="宋体" w:eastAsia="宋体" w:cs="宋体"/>
                <w:sz w:val="20"/>
                <w:szCs w:val="20"/>
              </w:rPr>
            </w:pPr>
            <w:r>
              <w:rPr>
                <w:rFonts w:hint="eastAsia" w:ascii="宋体" w:hAnsi="宋体" w:eastAsia="宋体" w:cs="宋体"/>
                <w:sz w:val="20"/>
                <w:szCs w:val="20"/>
              </w:rPr>
              <w:t>2、前端镜头视野角度：≥110°；镜头景深:3-100mm；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vAlign w:val="center"/>
          </w:tcPr>
          <w:p>
            <w:pPr>
              <w:pStyle w:val="7"/>
              <w:jc w:val="left"/>
              <w:rPr>
                <w:rFonts w:hint="eastAsia" w:ascii="宋体" w:hAnsi="宋体" w:eastAsia="宋体" w:cs="宋体"/>
                <w:sz w:val="20"/>
                <w:szCs w:val="20"/>
              </w:rPr>
            </w:pPr>
            <w:r>
              <w:rPr>
                <w:rFonts w:hint="eastAsia" w:ascii="宋体" w:hAnsi="宋体" w:eastAsia="宋体" w:cs="宋体"/>
                <w:sz w:val="20"/>
                <w:szCs w:val="20"/>
              </w:rPr>
              <w:t>3、空间分辨率：分辨率≥9.92 LP/mm；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lang w:eastAsia="zh-CN"/>
              </w:rPr>
            </w:pPr>
            <w:r>
              <w:rPr>
                <w:rFonts w:hint="eastAsia" w:ascii="宋体" w:hAnsi="宋体" w:eastAsia="宋体" w:cs="宋体"/>
                <w:sz w:val="20"/>
                <w:szCs w:val="20"/>
              </w:rPr>
              <w:t>4、显示器可旋转，上下转动最大角度≥130°，左右转动最大角度≥180°；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5、内置可充电式电池，容量≥2000mAh，或支持时间大于3小时。（每条镜子最低配备两块电池）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vAlign w:val="center"/>
          </w:tcPr>
          <w:p>
            <w:pPr>
              <w:pStyle w:val="7"/>
              <w:jc w:val="both"/>
              <w:rPr>
                <w:rFonts w:hint="eastAsia" w:ascii="宋体" w:hAnsi="宋体" w:eastAsia="宋体" w:cs="宋体"/>
                <w:sz w:val="20"/>
                <w:szCs w:val="20"/>
              </w:rPr>
            </w:pPr>
            <w:r>
              <w:rPr>
                <w:rFonts w:hint="eastAsia" w:ascii="宋体" w:hAnsi="宋体" w:eastAsia="宋体" w:cs="宋体"/>
                <w:sz w:val="20"/>
                <w:szCs w:val="20"/>
              </w:rPr>
              <w:t>6、内置全密封防水设计LED光源，光照度≥400Lux。</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vAlign w:val="center"/>
          </w:tcPr>
          <w:p>
            <w:pPr>
              <w:pStyle w:val="7"/>
              <w:jc w:val="left"/>
              <w:rPr>
                <w:rFonts w:hint="eastAsia" w:ascii="宋体" w:hAnsi="宋体" w:eastAsia="宋体" w:cs="宋体"/>
                <w:sz w:val="20"/>
                <w:szCs w:val="20"/>
              </w:rPr>
            </w:pPr>
            <w:r>
              <w:rPr>
                <w:rFonts w:hint="eastAsia" w:ascii="宋体" w:hAnsi="宋体" w:eastAsia="宋体" w:cs="宋体"/>
                <w:sz w:val="20"/>
                <w:szCs w:val="20"/>
              </w:rPr>
              <w:t>7、摄像头像素≥16万像素，确保显示效果一致性。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6" w:hRule="atLeast"/>
        </w:trPr>
        <w:tc>
          <w:tcPr>
            <w:tcW w:w="2250" w:type="dxa"/>
          </w:tcPr>
          <w:p>
            <w:pPr>
              <w:pStyle w:val="7"/>
              <w:ind w:firstLine="600" w:firstLineChars="300"/>
              <w:rPr>
                <w:rFonts w:hint="eastAsia" w:ascii="宋体" w:hAnsi="宋体" w:eastAsia="宋体" w:cs="宋体"/>
                <w:sz w:val="20"/>
                <w:szCs w:val="20"/>
              </w:rPr>
            </w:pPr>
            <w:r>
              <w:rPr>
                <w:rFonts w:hint="eastAsia" w:ascii="宋体" w:hAnsi="宋体" w:eastAsia="宋体" w:cs="宋体"/>
                <w:sz w:val="20"/>
                <w:szCs w:val="20"/>
              </w:rPr>
              <w:t>▲</w:t>
            </w: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8、整机具有拍照录像、数据存取、有线视频输出（兼容AV输出）等功能。同时具有吸引功能，可拷贝资料。标配不小于32G内存TF卡。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2250" w:type="dxa"/>
          </w:tcPr>
          <w:p>
            <w:pPr>
              <w:rPr>
                <w:rFonts w:hint="eastAsia" w:ascii="宋体" w:hAnsi="宋体" w:eastAsia="宋体" w:cs="宋体"/>
                <w:sz w:val="20"/>
                <w:szCs w:val="20"/>
              </w:rPr>
            </w:pPr>
            <w:r>
              <w:rPr>
                <w:rFonts w:hint="eastAsia" w:ascii="宋体" w:hAnsi="宋体" w:eastAsia="宋体" w:cs="宋体"/>
                <w:sz w:val="20"/>
                <w:szCs w:val="20"/>
              </w:rPr>
              <w:t>▲</w:t>
            </w:r>
          </w:p>
        </w:tc>
        <w:tc>
          <w:tcPr>
            <w:tcW w:w="564" w:type="dxa"/>
            <w:vAlign w:val="center"/>
          </w:tcPr>
          <w:p>
            <w:pPr>
              <w:pStyle w:val="7"/>
              <w:numPr>
                <w:ilvl w:val="0"/>
                <w:numId w:val="1"/>
              </w:numPr>
              <w:ind w:left="425" w:hanging="425"/>
              <w:jc w:val="both"/>
              <w:rPr>
                <w:rFonts w:hint="eastAsia" w:ascii="宋体" w:hAnsi="宋体" w:eastAsia="宋体" w:cs="宋体"/>
                <w:sz w:val="20"/>
                <w:szCs w:val="20"/>
                <w:lang w:val="en-US" w:eastAsia="zh-CN"/>
              </w:rPr>
            </w:pPr>
          </w:p>
        </w:tc>
        <w:tc>
          <w:tcPr>
            <w:tcW w:w="6304" w:type="dxa"/>
            <w:vAlign w:val="center"/>
          </w:tcPr>
          <w:p>
            <w:pPr>
              <w:pStyle w:val="7"/>
              <w:jc w:val="left"/>
              <w:rPr>
                <w:rFonts w:hint="eastAsia" w:ascii="宋体" w:hAnsi="宋体" w:eastAsia="宋体" w:cs="宋体"/>
                <w:sz w:val="20"/>
                <w:szCs w:val="20"/>
              </w:rPr>
            </w:pPr>
            <w:r>
              <w:rPr>
                <w:rFonts w:hint="eastAsia" w:ascii="宋体" w:hAnsi="宋体" w:eastAsia="宋体" w:cs="宋体"/>
                <w:sz w:val="20"/>
                <w:szCs w:val="20"/>
              </w:rPr>
              <w:t>9、机身软管和显示器可拆卸，满足清洗消毒需要。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vAlign w:val="center"/>
          </w:tcPr>
          <w:p>
            <w:pPr>
              <w:pStyle w:val="7"/>
              <w:jc w:val="left"/>
              <w:rPr>
                <w:rFonts w:hint="eastAsia" w:ascii="宋体" w:hAnsi="宋体" w:eastAsia="宋体" w:cs="宋体"/>
                <w:sz w:val="20"/>
                <w:szCs w:val="20"/>
              </w:rPr>
            </w:pPr>
            <w:r>
              <w:rPr>
                <w:rFonts w:hint="eastAsia" w:ascii="宋体" w:hAnsi="宋体" w:eastAsia="宋体" w:cs="宋体"/>
                <w:sz w:val="20"/>
                <w:szCs w:val="20"/>
              </w:rPr>
              <w:t>10、防水级别:IPX7以上。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11、配备防水盖，可整体浸泡消毒，满足感控要求和消毒供应室消毒方式。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lang w:eastAsia="zh-CN"/>
              </w:rPr>
            </w:pPr>
            <w:r>
              <w:rPr>
                <w:rFonts w:hint="eastAsia" w:ascii="宋体" w:hAnsi="宋体" w:eastAsia="宋体" w:cs="宋体"/>
                <w:sz w:val="20"/>
                <w:szCs w:val="20"/>
                <w:lang w:eastAsia="zh-CN"/>
              </w:rPr>
              <w:t>12、兼容性：存储的图片和视频为常规格式，无需其他软件支持即可查看。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r>
              <w:rPr>
                <w:rFonts w:hint="eastAsia" w:ascii="宋体" w:hAnsi="宋体" w:eastAsia="宋体" w:cs="宋体"/>
                <w:sz w:val="20"/>
                <w:szCs w:val="20"/>
                <w:lang w:eastAsia="zh-CN"/>
              </w:rPr>
              <w:t>▲</w:t>
            </w: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lang w:eastAsia="zh-CN"/>
              </w:rPr>
              <w:t>13、保修期≥</w:t>
            </w:r>
            <w:r>
              <w:rPr>
                <w:rFonts w:hint="eastAsia" w:ascii="宋体" w:hAnsi="宋体" w:cs="宋体"/>
                <w:sz w:val="20"/>
                <w:szCs w:val="20"/>
                <w:lang w:val="en-US" w:eastAsia="zh-CN"/>
              </w:rPr>
              <w:t>5</w:t>
            </w:r>
            <w:r>
              <w:rPr>
                <w:rFonts w:hint="eastAsia" w:ascii="宋体" w:hAnsi="宋体" w:eastAsia="宋体" w:cs="宋体"/>
                <w:sz w:val="20"/>
                <w:szCs w:val="20"/>
                <w:lang w:eastAsia="zh-CN"/>
              </w:rPr>
              <w:t>年，故障发生后24小时内响应，保期内提供每年至少1次的预防性维护，费用均包含在投标报价中；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6"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14、设备主机使用年限≥5年，提供同型号产品铭牌/标签或使用说明书等证明。设备交货日期不得超过生产日期后九个月。所投设备为非召回、非停产设备。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15、具备医院信息系统连接功能，设备使用过程中可根据医院需求升级设备，满足设备与医院信息系统连接需要。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pStyle w:val="7"/>
              <w:ind w:firstLine="400" w:firstLineChars="200"/>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16、适用范围：观察新生儿气道发育情况及新生儿气道吸痰、支气管肺泡灌洗；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7" w:hRule="atLeast"/>
        </w:trPr>
        <w:tc>
          <w:tcPr>
            <w:tcW w:w="2250" w:type="dxa"/>
          </w:tcPr>
          <w:p>
            <w:pPr>
              <w:rPr>
                <w:rFonts w:hint="eastAsia" w:ascii="宋体" w:hAnsi="宋体" w:eastAsia="宋体" w:cs="宋体"/>
                <w:sz w:val="20"/>
                <w:szCs w:val="20"/>
              </w:rPr>
            </w:pPr>
            <w:r>
              <w:rPr>
                <w:rFonts w:hint="eastAsia" w:ascii="宋体" w:hAnsi="宋体" w:eastAsia="宋体" w:cs="宋体"/>
                <w:sz w:val="20"/>
                <w:szCs w:val="20"/>
              </w:rPr>
              <w:t>▲</w:t>
            </w: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17、插入部外径：纤支镜（条）外径小于3.0mm，具有大于等于1.2mm吸引工作通道（数量1条）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6" w:hRule="atLeast"/>
        </w:trPr>
        <w:tc>
          <w:tcPr>
            <w:tcW w:w="2250" w:type="dxa"/>
          </w:tcPr>
          <w:p>
            <w:pPr>
              <w:rPr>
                <w:rFonts w:hint="eastAsia" w:ascii="宋体" w:hAnsi="宋体" w:eastAsia="宋体" w:cs="宋体"/>
                <w:sz w:val="20"/>
                <w:szCs w:val="20"/>
              </w:rPr>
            </w:pPr>
            <w:r>
              <w:rPr>
                <w:rFonts w:hint="eastAsia" w:ascii="宋体" w:hAnsi="宋体" w:eastAsia="宋体" w:cs="宋体"/>
                <w:sz w:val="20"/>
                <w:szCs w:val="20"/>
              </w:rPr>
              <w:t>▲</w:t>
            </w:r>
          </w:p>
        </w:tc>
        <w:tc>
          <w:tcPr>
            <w:tcW w:w="564" w:type="dxa"/>
            <w:vAlign w:val="center"/>
          </w:tcPr>
          <w:p>
            <w:pPr>
              <w:pStyle w:val="7"/>
              <w:numPr>
                <w:ilvl w:val="0"/>
                <w:numId w:val="1"/>
              </w:numPr>
              <w:ind w:left="425" w:hanging="425"/>
              <w:jc w:val="both"/>
              <w:rPr>
                <w:rFonts w:hint="eastAsia" w:ascii="宋体" w:hAnsi="宋体" w:eastAsia="宋体" w:cs="宋体"/>
                <w:sz w:val="20"/>
                <w:szCs w:val="20"/>
                <w:lang w:eastAsia="zh-CN"/>
              </w:rPr>
            </w:pPr>
          </w:p>
        </w:tc>
        <w:tc>
          <w:tcPr>
            <w:tcW w:w="6304" w:type="dxa"/>
            <w:vAlign w:val="center"/>
          </w:tcPr>
          <w:p>
            <w:pPr>
              <w:pStyle w:val="7"/>
              <w:rPr>
                <w:rFonts w:hint="eastAsia" w:ascii="宋体" w:hAnsi="宋体" w:eastAsia="宋体" w:cs="宋体"/>
                <w:sz w:val="20"/>
                <w:szCs w:val="20"/>
              </w:rPr>
            </w:pPr>
            <w:r>
              <w:rPr>
                <w:rFonts w:hint="eastAsia" w:ascii="宋体" w:hAnsi="宋体" w:eastAsia="宋体" w:cs="宋体"/>
                <w:sz w:val="20"/>
                <w:szCs w:val="20"/>
              </w:rPr>
              <w:t>18、标配外接大屏幕，屏幕尺寸≥9.0寸，像素不低于1280*800。具备图像放大功能，支持多点触控，内置病例管理软件，含拍照、录像、图像冻结、病例回顾等功能。配备大屏幕放置车。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6" w:hRule="atLeast"/>
        </w:trPr>
        <w:tc>
          <w:tcPr>
            <w:tcW w:w="2250" w:type="dxa"/>
          </w:tcPr>
          <w:p>
            <w:pPr>
              <w:rPr>
                <w:rFonts w:hint="eastAsia" w:ascii="宋体" w:hAnsi="宋体" w:eastAsia="宋体" w:cs="宋体"/>
                <w:sz w:val="20"/>
                <w:szCs w:val="20"/>
              </w:rPr>
            </w:pPr>
          </w:p>
        </w:tc>
        <w:tc>
          <w:tcPr>
            <w:tcW w:w="564" w:type="dxa"/>
            <w:vAlign w:val="center"/>
          </w:tcPr>
          <w:p>
            <w:pPr>
              <w:pStyle w:val="7"/>
              <w:numPr>
                <w:ilvl w:val="0"/>
                <w:numId w:val="1"/>
              </w:numPr>
              <w:ind w:left="425" w:hanging="425"/>
              <w:jc w:val="both"/>
              <w:rPr>
                <w:rFonts w:hint="eastAsia" w:ascii="宋体" w:hAnsi="宋体" w:eastAsia="宋体" w:cs="宋体"/>
                <w:sz w:val="20"/>
                <w:szCs w:val="20"/>
                <w:lang w:val="en-US" w:eastAsia="zh-CN"/>
              </w:rPr>
            </w:pPr>
          </w:p>
        </w:tc>
        <w:tc>
          <w:tcPr>
            <w:tcW w:w="6304" w:type="dxa"/>
            <w:vAlign w:val="center"/>
          </w:tcPr>
          <w:p>
            <w:pPr>
              <w:pStyle w:val="7"/>
              <w:jc w:val="left"/>
              <w:rPr>
                <w:rFonts w:hint="eastAsia" w:ascii="宋体" w:hAnsi="宋体" w:eastAsia="宋体" w:cs="宋体"/>
                <w:sz w:val="20"/>
                <w:szCs w:val="20"/>
              </w:rPr>
            </w:pPr>
            <w:r>
              <w:rPr>
                <w:rFonts w:hint="eastAsia" w:ascii="宋体" w:hAnsi="宋体" w:eastAsia="宋体" w:cs="宋体"/>
                <w:sz w:val="20"/>
                <w:szCs w:val="20"/>
              </w:rPr>
              <w:t>19、提供器械清洗转运箱。</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5" w:hRule="atLeast"/>
        </w:trPr>
        <w:tc>
          <w:tcPr>
            <w:tcW w:w="2250" w:type="dxa"/>
          </w:tcPr>
          <w:p>
            <w:pPr>
              <w:rPr>
                <w:rFonts w:hint="eastAsia" w:ascii="宋体" w:hAnsi="宋体" w:eastAsia="宋体" w:cs="宋体"/>
                <w:sz w:val="20"/>
                <w:szCs w:val="20"/>
              </w:rPr>
            </w:pPr>
            <w:r>
              <w:rPr>
                <w:rFonts w:hint="eastAsia" w:ascii="宋体" w:hAnsi="宋体" w:eastAsia="宋体" w:cs="宋体"/>
                <w:sz w:val="20"/>
                <w:szCs w:val="20"/>
              </w:rPr>
              <w:t>▲</w:t>
            </w:r>
          </w:p>
        </w:tc>
        <w:tc>
          <w:tcPr>
            <w:tcW w:w="564" w:type="dxa"/>
          </w:tcPr>
          <w:p>
            <w:pPr>
              <w:pStyle w:val="7"/>
              <w:numPr>
                <w:ilvl w:val="0"/>
                <w:numId w:val="1"/>
              </w:numPr>
              <w:ind w:left="425" w:hanging="425"/>
              <w:rPr>
                <w:rFonts w:hint="eastAsia" w:ascii="宋体" w:hAnsi="宋体" w:eastAsia="宋体" w:cs="宋体"/>
                <w:sz w:val="20"/>
                <w:szCs w:val="20"/>
                <w:lang w:eastAsia="zh-CN"/>
              </w:rPr>
            </w:pPr>
          </w:p>
        </w:tc>
        <w:tc>
          <w:tcPr>
            <w:tcW w:w="6304" w:type="dxa"/>
          </w:tcPr>
          <w:p>
            <w:pPr>
              <w:pStyle w:val="7"/>
              <w:rPr>
                <w:rFonts w:hint="eastAsia" w:ascii="宋体" w:hAnsi="宋体" w:eastAsia="宋体" w:cs="宋体"/>
                <w:sz w:val="20"/>
                <w:szCs w:val="20"/>
              </w:rPr>
            </w:pPr>
            <w:r>
              <w:rPr>
                <w:rFonts w:hint="eastAsia" w:ascii="宋体" w:hAnsi="宋体" w:eastAsia="宋体" w:cs="宋体"/>
                <w:sz w:val="20"/>
                <w:szCs w:val="20"/>
              </w:rPr>
              <w:t>二、单台配置要求：</w:t>
            </w:r>
          </w:p>
          <w:p>
            <w:pPr>
              <w:pStyle w:val="7"/>
              <w:rPr>
                <w:rFonts w:hint="eastAsia" w:ascii="宋体" w:hAnsi="宋体" w:eastAsia="宋体" w:cs="宋体"/>
                <w:sz w:val="20"/>
                <w:szCs w:val="20"/>
              </w:rPr>
            </w:pPr>
            <w:r>
              <w:rPr>
                <w:rFonts w:hint="eastAsia" w:ascii="宋体" w:hAnsi="宋体" w:eastAsia="宋体" w:cs="宋体"/>
                <w:sz w:val="20"/>
                <w:szCs w:val="20"/>
              </w:rPr>
              <w:t>支气管内窥镜镜体1个、≥9.0寸显示屏（内置电池、光源）1个、图像处理器1、防水盖2个、吸引套件2套、可充电电池2个，内存卡1个（≥64G）、充电线1条等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6" w:hRule="atLeast"/>
        </w:trPr>
        <w:tc>
          <w:tcPr>
            <w:tcW w:w="2250" w:type="dxa"/>
          </w:tcPr>
          <w:p>
            <w:pPr>
              <w:pStyle w:val="7"/>
              <w:rPr>
                <w:rFonts w:hint="eastAsia" w:ascii="宋体" w:hAnsi="宋体" w:eastAsia="宋体" w:cs="宋体"/>
                <w:sz w:val="20"/>
                <w:szCs w:val="20"/>
              </w:rPr>
            </w:pPr>
            <w:r>
              <w:rPr>
                <w:rFonts w:hint="eastAsia" w:ascii="宋体" w:hAnsi="宋体" w:eastAsia="宋体" w:cs="宋体"/>
                <w:sz w:val="20"/>
                <w:szCs w:val="20"/>
              </w:rPr>
              <w:t>说明</w:t>
            </w:r>
          </w:p>
        </w:tc>
        <w:tc>
          <w:tcPr>
            <w:tcW w:w="6868" w:type="dxa"/>
            <w:gridSpan w:val="2"/>
          </w:tcPr>
          <w:p>
            <w:pPr>
              <w:pStyle w:val="7"/>
              <w:jc w:val="left"/>
              <w:rPr>
                <w:rFonts w:hint="eastAsia" w:ascii="宋体" w:hAnsi="宋体" w:eastAsia="宋体" w:cs="宋体"/>
                <w:sz w:val="20"/>
                <w:szCs w:val="20"/>
              </w:rPr>
            </w:pPr>
            <w:r>
              <w:rPr>
                <w:rFonts w:hint="eastAsia" w:ascii="宋体" w:hAnsi="宋体" w:eastAsia="宋体" w:cs="宋体"/>
                <w:sz w:val="20"/>
                <w:szCs w:val="20"/>
              </w:rPr>
              <w:t xml:space="preserve"> 打“★”号条款为实质性条款，若有任何一条负偏离或不满足则导致投标无效。 </w:t>
            </w:r>
            <w:r>
              <w:rPr>
                <w:rFonts w:hint="eastAsia" w:ascii="宋体" w:hAnsi="宋体" w:eastAsia="宋体" w:cs="宋体"/>
                <w:sz w:val="20"/>
                <w:szCs w:val="20"/>
              </w:rPr>
              <w:br w:type="textWrapping"/>
            </w:r>
            <w:r>
              <w:rPr>
                <w:rFonts w:hint="eastAsia" w:ascii="宋体" w:hAnsi="宋体" w:eastAsia="宋体" w:cs="宋体"/>
                <w:sz w:val="20"/>
                <w:szCs w:val="20"/>
              </w:rPr>
              <w:t>打“▲”号条款为重要技术参数，若有部分“▲”条款未响应或不满足，将导致其响应性评审加重扣分，但不作为无效投标条款。</w:t>
            </w:r>
          </w:p>
        </w:tc>
      </w:tr>
    </w:tbl>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pStyle w:val="2"/>
        <w:rPr>
          <w:rFonts w:hint="eastAsia" w:ascii="仿宋" w:hAnsi="仿宋" w:eastAsia="仿宋"/>
          <w:sz w:val="28"/>
          <w:szCs w:val="28"/>
        </w:rPr>
      </w:pPr>
    </w:p>
    <w:p>
      <w:pPr>
        <w:rPr>
          <w:rFonts w:hint="eastAsia" w:ascii="仿宋" w:hAnsi="仿宋" w:eastAsia="仿宋"/>
          <w:sz w:val="28"/>
          <w:szCs w:val="28"/>
        </w:rPr>
      </w:pPr>
    </w:p>
    <w:p>
      <w:pPr>
        <w:pStyle w:val="2"/>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p>
    <w:p>
      <w:pPr>
        <w:numPr>
          <w:ilvl w:val="0"/>
          <w:numId w:val="0"/>
        </w:numPr>
        <w:snapToGrid w:val="0"/>
        <w:spacing w:line="276" w:lineRule="auto"/>
        <w:rPr>
          <w:rFonts w:hint="eastAsia" w:ascii="仿宋" w:hAnsi="仿宋" w:eastAsia="仿宋"/>
          <w:sz w:val="28"/>
          <w:szCs w:val="28"/>
        </w:rPr>
      </w:pPr>
      <w:r>
        <w:rPr>
          <w:rFonts w:hint="eastAsia" w:ascii="仿宋" w:hAnsi="仿宋" w:eastAsia="仿宋"/>
          <w:sz w:val="28"/>
          <w:szCs w:val="28"/>
        </w:rPr>
        <w:t>评审因素及对应的分值、权重：</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2" w:type="dxa"/>
            <w:noWrap w:val="0"/>
            <w:vAlign w:val="top"/>
          </w:tcPr>
          <w:p>
            <w:pPr>
              <w:pStyle w:val="7"/>
              <w:jc w:val="center"/>
              <w:rPr>
                <w:rFonts w:ascii="仿宋" w:hAnsi="仿宋" w:eastAsia="仿宋" w:cs="仿宋"/>
                <w:sz w:val="28"/>
                <w:szCs w:val="28"/>
              </w:rPr>
            </w:pPr>
            <w:r>
              <w:rPr>
                <w:rFonts w:ascii="仿宋" w:hAnsi="仿宋" w:eastAsia="仿宋" w:cs="仿宋"/>
                <w:sz w:val="28"/>
                <w:szCs w:val="28"/>
              </w:rPr>
              <w:t>评审因素</w:t>
            </w:r>
          </w:p>
        </w:tc>
        <w:tc>
          <w:tcPr>
            <w:tcW w:w="7383" w:type="dxa"/>
            <w:gridSpan w:val="2"/>
            <w:noWrap w:val="0"/>
            <w:vAlign w:val="top"/>
          </w:tcPr>
          <w:p>
            <w:pPr>
              <w:pStyle w:val="7"/>
              <w:jc w:val="center"/>
              <w:rPr>
                <w:rFonts w:ascii="仿宋" w:hAnsi="仿宋" w:eastAsia="仿宋" w:cs="仿宋"/>
                <w:sz w:val="28"/>
                <w:szCs w:val="28"/>
              </w:rPr>
            </w:pPr>
            <w:r>
              <w:rPr>
                <w:rFonts w:ascii="仿宋" w:hAnsi="仿宋" w:eastAsia="仿宋" w:cs="仿宋"/>
                <w:sz w:val="28"/>
                <w:szCs w:val="28"/>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top"/>
          </w:tcPr>
          <w:p>
            <w:pPr>
              <w:pStyle w:val="7"/>
              <w:jc w:val="center"/>
              <w:rPr>
                <w:rFonts w:ascii="仿宋" w:hAnsi="仿宋" w:eastAsia="仿宋" w:cs="仿宋"/>
                <w:sz w:val="28"/>
                <w:szCs w:val="28"/>
              </w:rPr>
            </w:pPr>
            <w:r>
              <w:rPr>
                <w:rFonts w:ascii="仿宋" w:hAnsi="仿宋" w:eastAsia="仿宋" w:cs="仿宋"/>
                <w:sz w:val="28"/>
                <w:szCs w:val="28"/>
              </w:rPr>
              <w:t>分值构成</w:t>
            </w:r>
          </w:p>
        </w:tc>
        <w:tc>
          <w:tcPr>
            <w:tcW w:w="7383" w:type="dxa"/>
            <w:gridSpan w:val="2"/>
            <w:noWrap w:val="0"/>
            <w:vAlign w:val="top"/>
          </w:tcPr>
          <w:p>
            <w:pPr>
              <w:pStyle w:val="7"/>
              <w:rPr>
                <w:rFonts w:ascii="仿宋" w:hAnsi="仿宋" w:eastAsia="仿宋" w:cs="仿宋"/>
                <w:sz w:val="28"/>
                <w:szCs w:val="28"/>
              </w:rPr>
            </w:pPr>
            <w:r>
              <w:rPr>
                <w:rFonts w:hint="eastAsia" w:ascii="仿宋" w:hAnsi="仿宋" w:eastAsia="仿宋" w:cs="仿宋"/>
                <w:sz w:val="28"/>
                <w:szCs w:val="28"/>
                <w:lang w:val="en-US" w:eastAsia="zh-CN"/>
              </w:rPr>
              <w:t>技术</w:t>
            </w:r>
            <w:r>
              <w:rPr>
                <w:rFonts w:ascii="仿宋" w:hAnsi="仿宋" w:eastAsia="仿宋" w:cs="仿宋"/>
                <w:sz w:val="28"/>
                <w:szCs w:val="28"/>
              </w:rPr>
              <w:t>部分</w:t>
            </w:r>
            <w:r>
              <w:rPr>
                <w:rFonts w:hint="eastAsia" w:ascii="仿宋" w:hAnsi="仿宋" w:eastAsia="仿宋" w:cs="仿宋"/>
                <w:sz w:val="32"/>
                <w:szCs w:val="36"/>
                <w:lang w:val="en-US" w:eastAsia="zh-CN"/>
              </w:rPr>
              <w:t>57.5</w:t>
            </w:r>
            <w:r>
              <w:rPr>
                <w:rFonts w:ascii="仿宋" w:hAnsi="仿宋" w:eastAsia="仿宋" w:cs="仿宋"/>
                <w:sz w:val="28"/>
                <w:szCs w:val="28"/>
              </w:rPr>
              <w:t>分</w:t>
            </w:r>
          </w:p>
          <w:p>
            <w:pPr>
              <w:pStyle w:val="7"/>
              <w:rPr>
                <w:rFonts w:ascii="仿宋" w:hAnsi="仿宋" w:eastAsia="仿宋" w:cs="仿宋"/>
                <w:sz w:val="28"/>
                <w:szCs w:val="28"/>
              </w:rPr>
            </w:pPr>
            <w:r>
              <w:rPr>
                <w:rFonts w:hint="eastAsia" w:ascii="仿宋" w:hAnsi="仿宋" w:eastAsia="仿宋" w:cs="仿宋"/>
                <w:sz w:val="28"/>
                <w:szCs w:val="28"/>
                <w:lang w:val="en-US" w:eastAsia="zh-CN"/>
              </w:rPr>
              <w:t>商务</w:t>
            </w:r>
            <w:r>
              <w:rPr>
                <w:rFonts w:ascii="仿宋" w:hAnsi="仿宋" w:eastAsia="仿宋" w:cs="仿宋"/>
                <w:sz w:val="28"/>
                <w:szCs w:val="28"/>
              </w:rPr>
              <w:t>部分</w:t>
            </w:r>
            <w:r>
              <w:rPr>
                <w:rFonts w:hint="eastAsia" w:ascii="仿宋" w:hAnsi="仿宋" w:eastAsia="仿宋" w:cs="仿宋"/>
                <w:sz w:val="32"/>
                <w:szCs w:val="36"/>
                <w:lang w:val="en-US" w:eastAsia="zh-CN"/>
              </w:rPr>
              <w:t>12.5</w:t>
            </w:r>
            <w:r>
              <w:rPr>
                <w:rFonts w:ascii="仿宋" w:hAnsi="仿宋" w:eastAsia="仿宋" w:cs="仿宋"/>
                <w:sz w:val="28"/>
                <w:szCs w:val="28"/>
              </w:rPr>
              <w:t>分</w:t>
            </w:r>
          </w:p>
          <w:p>
            <w:pPr>
              <w:pStyle w:val="7"/>
              <w:rPr>
                <w:rFonts w:ascii="仿宋" w:hAnsi="仿宋" w:eastAsia="仿宋" w:cs="仿宋"/>
                <w:sz w:val="28"/>
                <w:szCs w:val="28"/>
              </w:rPr>
            </w:pPr>
            <w:r>
              <w:rPr>
                <w:rFonts w:ascii="仿宋" w:hAnsi="仿宋" w:eastAsia="仿宋" w:cs="仿宋"/>
                <w:sz w:val="28"/>
                <w:szCs w:val="28"/>
              </w:rPr>
              <w:t>报价得分</w:t>
            </w:r>
            <w:r>
              <w:rPr>
                <w:rFonts w:hint="eastAsia" w:ascii="仿宋" w:hAnsi="仿宋" w:eastAsia="仿宋" w:cs="仿宋"/>
                <w:sz w:val="28"/>
                <w:szCs w:val="28"/>
                <w:lang w:val="en-US" w:eastAsia="zh-CN"/>
              </w:rPr>
              <w:t>30</w:t>
            </w:r>
            <w:r>
              <w:rPr>
                <w:rFonts w:ascii="仿宋" w:hAnsi="仿宋" w:eastAsia="仿宋" w:cs="仿宋"/>
                <w:sz w:val="28"/>
                <w:szCs w:val="28"/>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top"/>
          </w:tcPr>
          <w:p>
            <w:pPr>
              <w:pStyle w:val="7"/>
              <w:jc w:val="center"/>
              <w:rPr>
                <w:rFonts w:ascii="仿宋" w:hAnsi="仿宋" w:eastAsia="仿宋" w:cs="仿宋"/>
                <w:sz w:val="28"/>
                <w:szCs w:val="28"/>
              </w:rPr>
            </w:pPr>
            <w:r>
              <w:rPr>
                <w:rFonts w:ascii="仿宋" w:hAnsi="仿宋" w:eastAsia="仿宋" w:cs="仿宋"/>
                <w:sz w:val="28"/>
                <w:szCs w:val="28"/>
              </w:rPr>
              <w:t>技术部分</w:t>
            </w:r>
          </w:p>
        </w:tc>
        <w:tc>
          <w:tcPr>
            <w:tcW w:w="2307" w:type="dxa"/>
            <w:noWrap w:val="0"/>
            <w:vAlign w:val="top"/>
          </w:tcPr>
          <w:p>
            <w:pPr>
              <w:pStyle w:val="7"/>
              <w:jc w:val="left"/>
              <w:rPr>
                <w:rFonts w:ascii="仿宋" w:hAnsi="仿宋" w:eastAsia="仿宋" w:cs="仿宋"/>
                <w:sz w:val="28"/>
                <w:szCs w:val="28"/>
              </w:rPr>
            </w:pPr>
            <w:r>
              <w:rPr>
                <w:rFonts w:ascii="仿宋" w:hAnsi="仿宋" w:eastAsia="仿宋" w:cs="仿宋"/>
                <w:sz w:val="28"/>
                <w:szCs w:val="28"/>
              </w:rPr>
              <w:t>所投产品对用户需求书中带▲号的重要技术参数的响应情况 (</w:t>
            </w:r>
            <w:r>
              <w:rPr>
                <w:rFonts w:hint="eastAsia" w:ascii="仿宋" w:hAnsi="仿宋" w:eastAsia="仿宋" w:cs="仿宋"/>
                <w:sz w:val="28"/>
                <w:szCs w:val="28"/>
              </w:rPr>
              <w:t>32</w:t>
            </w:r>
            <w:r>
              <w:rPr>
                <w:rFonts w:ascii="仿宋" w:hAnsi="仿宋" w:eastAsia="仿宋" w:cs="仿宋"/>
                <w:sz w:val="28"/>
                <w:szCs w:val="28"/>
              </w:rPr>
              <w:t>分)</w:t>
            </w:r>
          </w:p>
        </w:tc>
        <w:tc>
          <w:tcPr>
            <w:tcW w:w="5076" w:type="dxa"/>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根据各投标人对采购文件技术要求中“▲”条款（共8条）的响应程度进行评分：全部响应得32分，每有一项不响应的扣4分。</w:t>
            </w:r>
          </w:p>
          <w:p>
            <w:pPr>
              <w:pStyle w:val="7"/>
              <w:jc w:val="left"/>
              <w:rPr>
                <w:rFonts w:ascii="仿宋" w:hAnsi="仿宋" w:eastAsia="仿宋" w:cs="仿宋"/>
                <w:sz w:val="28"/>
                <w:szCs w:val="28"/>
              </w:rPr>
            </w:pPr>
            <w:r>
              <w:rPr>
                <w:rFonts w:hint="eastAsia" w:ascii="仿宋" w:hAnsi="仿宋" w:eastAsia="仿宋" w:cs="仿宋"/>
                <w:sz w:val="28"/>
                <w:szCs w:val="28"/>
              </w:rPr>
              <w:t>所有投标人须提供投标产品彩页及相应技术参数的厂家使用说明书作为技术证明文件，否则采购人有权视相应技术参数响应不符合采购要求（如厂家的产品使用说明书为英文版，请同时提供中文版）。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ascii="仿宋" w:hAnsi="仿宋" w:eastAsia="仿宋" w:cs="仿宋"/>
                <w:sz w:val="28"/>
                <w:szCs w:val="28"/>
              </w:rPr>
              <w:t>所投产品技术参数及性能与技术规格要求的响应情况 (</w:t>
            </w:r>
            <w:r>
              <w:rPr>
                <w:rFonts w:hint="eastAsia" w:ascii="仿宋" w:hAnsi="仿宋" w:eastAsia="仿宋" w:cs="仿宋"/>
                <w:sz w:val="28"/>
                <w:szCs w:val="28"/>
              </w:rPr>
              <w:t>18</w:t>
            </w:r>
            <w:r>
              <w:rPr>
                <w:rFonts w:ascii="仿宋" w:hAnsi="仿宋" w:eastAsia="仿宋" w:cs="仿宋"/>
                <w:sz w:val="28"/>
                <w:szCs w:val="28"/>
              </w:rPr>
              <w:t>分)</w:t>
            </w:r>
          </w:p>
        </w:tc>
        <w:tc>
          <w:tcPr>
            <w:tcW w:w="5076" w:type="dxa"/>
            <w:noWrap w:val="0"/>
            <w:vAlign w:val="top"/>
          </w:tcPr>
          <w:p>
            <w:pPr>
              <w:pStyle w:val="7"/>
              <w:jc w:val="left"/>
              <w:rPr>
                <w:rFonts w:hint="eastAsia" w:ascii="仿宋" w:hAnsi="仿宋" w:eastAsia="仿宋" w:cs="仿宋"/>
                <w:sz w:val="28"/>
                <w:szCs w:val="28"/>
              </w:rPr>
            </w:pPr>
            <w:bookmarkStart w:id="0" w:name="_GoBack"/>
            <w:bookmarkEnd w:id="0"/>
            <w:r>
              <w:rPr>
                <w:rFonts w:hint="eastAsia" w:ascii="仿宋" w:hAnsi="仿宋" w:eastAsia="仿宋" w:cs="仿宋"/>
                <w:sz w:val="28"/>
                <w:szCs w:val="28"/>
              </w:rPr>
              <w:t xml:space="preserve">根据各投标人对采购文件技术要求中一般条款（共12条）的响应程度进行评分：全部响应得18分，每有一项不响应的扣1.5分。 </w:t>
            </w:r>
          </w:p>
          <w:p>
            <w:pPr>
              <w:pStyle w:val="7"/>
              <w:jc w:val="left"/>
              <w:rPr>
                <w:rFonts w:ascii="仿宋" w:hAnsi="仿宋" w:eastAsia="仿宋" w:cs="仿宋"/>
                <w:sz w:val="28"/>
                <w:szCs w:val="28"/>
              </w:rPr>
            </w:pPr>
            <w:r>
              <w:rPr>
                <w:rFonts w:hint="eastAsia" w:ascii="仿宋" w:hAnsi="仿宋" w:eastAsia="仿宋" w:cs="仿宋"/>
                <w:sz w:val="28"/>
                <w:szCs w:val="28"/>
              </w:rPr>
              <w:t>所有投标人须提供投标产品彩页及相应技术参数的厂家使用说明书作为技术证明文件，否则采购人有权视相应技术参数响应不符合采购要求（如厂家的产品使用说明书为英文版，请同时提供中文版）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32"/>
                <w:szCs w:val="36"/>
                <w:lang w:val="en-US" w:eastAsia="zh-CN"/>
              </w:rPr>
              <w:t>质量保证方案（2.0分)</w:t>
            </w:r>
            <w:r>
              <w:rPr>
                <w:rFonts w:ascii="仿宋" w:hAnsi="仿宋" w:eastAsia="仿宋" w:cs="仿宋"/>
                <w:sz w:val="28"/>
                <w:szCs w:val="28"/>
              </w:rPr>
              <w:t>（等次分值选择：0.0;1.0;</w:t>
            </w:r>
            <w:r>
              <w:rPr>
                <w:rFonts w:hint="eastAsia" w:ascii="仿宋" w:hAnsi="仿宋" w:eastAsia="仿宋" w:cs="仿宋"/>
                <w:sz w:val="28"/>
                <w:szCs w:val="28"/>
                <w:lang w:val="en-US" w:eastAsia="zh-CN"/>
              </w:rPr>
              <w:t>1.5</w:t>
            </w:r>
            <w:r>
              <w:rPr>
                <w:rFonts w:ascii="仿宋" w:hAnsi="仿宋" w:eastAsia="仿宋" w:cs="仿宋"/>
                <w:sz w:val="28"/>
                <w:szCs w:val="28"/>
              </w:rPr>
              <w:t>;</w:t>
            </w:r>
            <w:r>
              <w:rPr>
                <w:rFonts w:hint="eastAsia" w:ascii="仿宋" w:hAnsi="仿宋" w:eastAsia="仿宋" w:cs="仿宋"/>
                <w:sz w:val="28"/>
                <w:szCs w:val="28"/>
                <w:lang w:val="en-US" w:eastAsia="zh-CN"/>
              </w:rPr>
              <w:t>2</w:t>
            </w:r>
            <w:r>
              <w:rPr>
                <w:rFonts w:ascii="仿宋" w:hAnsi="仿宋" w:eastAsia="仿宋" w:cs="仿宋"/>
                <w:sz w:val="28"/>
                <w:szCs w:val="28"/>
              </w:rPr>
              <w:t>.0;）</w:t>
            </w:r>
          </w:p>
        </w:tc>
        <w:tc>
          <w:tcPr>
            <w:tcW w:w="5076" w:type="dxa"/>
            <w:noWrap w:val="0"/>
            <w:vAlign w:val="top"/>
          </w:tcPr>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根据投标人针对本项目所提供的质量保证方案，方案内容包括但不限于质保年限、质量保证目标、质量保障措施等内容、提供备品备件服务等内容进行评审：</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1）投标人所提供的质保年限和质量保证目标、质量保障措施方案内容详细，有完整合理的部署规划，有安排人员负责响应采购人的维修要求及服务过程中的沟通，有完整可行操作的维修处理方法，对日常维修和应急情况响应及时，优于或完全满足项目要求的得2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2）投标人所提供的质保年限和质量保证目标、质量保障措施方案基本完整，部署规划基本合理，有安排人员负责响应采购人的维修要求及服务过程中的沟通，维修处理方法基本合理可行，对日常维修和应急情况响应较及时，基本满足项目要求的得1.5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3）投标人只提供了简单的售后服务方案，投标人有提供质保期年限和质量保证目标、质量保障措施方案，但内容不详细，部署规划不合理，有人员响应采购人的维修要求及服务过程中的沟通，有基本的操作的维修处理方法，对日常维修和应急情况响应不及时，部分满足项目要求的得1分；</w:t>
            </w:r>
          </w:p>
          <w:p>
            <w:pPr>
              <w:pStyle w:val="7"/>
              <w:numPr>
                <w:ilvl w:val="0"/>
                <w:numId w:val="0"/>
              </w:numPr>
              <w:jc w:val="left"/>
              <w:rPr>
                <w:rFonts w:ascii="仿宋" w:hAnsi="仿宋" w:eastAsia="仿宋" w:cs="仿宋"/>
                <w:sz w:val="28"/>
                <w:szCs w:val="28"/>
              </w:rPr>
            </w:pPr>
            <w:r>
              <w:rPr>
                <w:rFonts w:hint="eastAsia" w:ascii="仿宋" w:hAnsi="仿宋" w:eastAsia="仿宋" w:cs="仿宋"/>
                <w:sz w:val="28"/>
                <w:szCs w:val="28"/>
              </w:rPr>
              <w:t>（4）不提供的不得分。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项目实施方案 (2.5分)</w:t>
            </w:r>
            <w:r>
              <w:rPr>
                <w:rFonts w:ascii="仿宋" w:hAnsi="仿宋" w:eastAsia="仿宋" w:cs="仿宋"/>
                <w:sz w:val="28"/>
                <w:szCs w:val="28"/>
              </w:rPr>
              <w:t>，（等次分值选择：0.0;1.0;</w:t>
            </w:r>
            <w:r>
              <w:rPr>
                <w:rFonts w:hint="eastAsia" w:ascii="仿宋" w:hAnsi="仿宋" w:eastAsia="仿宋" w:cs="仿宋"/>
                <w:sz w:val="28"/>
                <w:szCs w:val="28"/>
                <w:lang w:val="en-US" w:eastAsia="zh-CN"/>
              </w:rPr>
              <w:t>1.5</w:t>
            </w:r>
            <w:r>
              <w:rPr>
                <w:rFonts w:ascii="仿宋" w:hAnsi="仿宋" w:eastAsia="仿宋" w:cs="仿宋"/>
                <w:sz w:val="28"/>
                <w:szCs w:val="28"/>
              </w:rPr>
              <w:t>;</w:t>
            </w:r>
            <w:r>
              <w:rPr>
                <w:rFonts w:hint="eastAsia" w:ascii="仿宋" w:hAnsi="仿宋" w:eastAsia="仿宋" w:cs="仿宋"/>
                <w:sz w:val="28"/>
                <w:szCs w:val="28"/>
                <w:lang w:val="en-US" w:eastAsia="zh-CN"/>
              </w:rPr>
              <w:t>2.5</w:t>
            </w:r>
            <w:r>
              <w:rPr>
                <w:rFonts w:ascii="仿宋" w:hAnsi="仿宋" w:eastAsia="仿宋" w:cs="仿宋"/>
                <w:sz w:val="28"/>
                <w:szCs w:val="28"/>
              </w:rPr>
              <w:t>;）</w:t>
            </w:r>
          </w:p>
        </w:tc>
        <w:tc>
          <w:tcPr>
            <w:tcW w:w="5076" w:type="dxa"/>
            <w:noWrap w:val="0"/>
            <w:vAlign w:val="top"/>
          </w:tcPr>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根据投标人针对本项目所提供的项目实施方案（不包括售后服务和培训方案），包括但不限于项目到货计划、项目实施计划、项目运输保障、安装调试（如计划步骤、人员安排等）等内容进行评审：</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（1）投标人针对本项目有明确具体的计划安排、对每个标的设备的运输过程有针对性保障手段、设备到场时的专人安装调试有明确的安排措施，优于或完全满足采购需求得2.5分；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（2）投标人针对本项目有明确的计划安排、对设备的运输过程有基本的保障手段、设备到场时的专人安装调试有基本的安排措施，基本满足采购需求得1.5分；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（3）投标人针对本项目有简单的计划安排、对设备的运输过程有简单的保障手段、设备到场时的专人安装调试有简单的安排措施，部分满足采购需求得1分；</w:t>
            </w:r>
          </w:p>
          <w:p>
            <w:pPr>
              <w:pStyle w:val="7"/>
              <w:numPr>
                <w:ilvl w:val="0"/>
                <w:numId w:val="0"/>
              </w:numPr>
              <w:jc w:val="left"/>
              <w:rPr>
                <w:rFonts w:ascii="仿宋" w:hAnsi="仿宋" w:eastAsia="仿宋" w:cs="仿宋"/>
                <w:sz w:val="28"/>
                <w:szCs w:val="28"/>
              </w:rPr>
            </w:pPr>
            <w:r>
              <w:rPr>
                <w:rFonts w:hint="eastAsia" w:ascii="仿宋" w:hAnsi="仿宋" w:eastAsia="仿宋" w:cs="仿宋"/>
                <w:sz w:val="28"/>
                <w:szCs w:val="28"/>
              </w:rPr>
              <w:t>（4）不提供的不得分。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培训方案 (</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rPr>
              <w:t>)，（等次分值选择：0.0;1.0;</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w:t>
            </w:r>
          </w:p>
        </w:tc>
        <w:tc>
          <w:tcPr>
            <w:tcW w:w="5076" w:type="dxa"/>
            <w:noWrap w:val="0"/>
            <w:vAlign w:val="top"/>
          </w:tcPr>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投标人根据产品特点及保养事项对采购人所使用设备人员提供设备操作及操作过程中注意事项等内容进行培训：</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1）投标人针对本项目为采购人提供有专人指导和简单上手的设备操作培训课程安排，有明确的课程及培训内容安排，对设备的操作过程中注意事项有详细指引，对特殊情况（如设备反复重启，操作失灵，错误操作等情况）有图文详解及完整应对培训的，得3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（2）投标人针对本项目为采购人提供有专人指导和简单上手的设备操作培训课程安排，有简单的课程及培训内容安排，对设备的操作过程中注意事项有基本操作指引，得2分；</w:t>
            </w:r>
          </w:p>
          <w:p>
            <w:pPr>
              <w:pStyle w:val="7"/>
              <w:numPr>
                <w:ilvl w:val="0"/>
                <w:numId w:val="0"/>
              </w:numPr>
              <w:jc w:val="left"/>
              <w:rPr>
                <w:rFonts w:hint="eastAsia" w:ascii="仿宋" w:hAnsi="仿宋" w:eastAsia="仿宋" w:cs="仿宋"/>
                <w:sz w:val="28"/>
                <w:szCs w:val="28"/>
              </w:rPr>
            </w:pPr>
            <w:r>
              <w:rPr>
                <w:rFonts w:hint="eastAsia" w:ascii="仿宋" w:hAnsi="仿宋" w:eastAsia="仿宋" w:cs="仿宋"/>
                <w:sz w:val="28"/>
                <w:szCs w:val="28"/>
              </w:rPr>
              <w:t xml:space="preserve">（3）投标人提供指导和培训课程安排简单含糊，课程及培训内容安排不明确，对操作培训含糊其辞，得1分； </w:t>
            </w:r>
          </w:p>
          <w:p>
            <w:pPr>
              <w:pStyle w:val="7"/>
              <w:numPr>
                <w:ilvl w:val="0"/>
                <w:numId w:val="0"/>
              </w:numPr>
              <w:jc w:val="left"/>
              <w:rPr>
                <w:rFonts w:ascii="仿宋" w:hAnsi="仿宋" w:eastAsia="仿宋" w:cs="仿宋"/>
                <w:sz w:val="28"/>
                <w:szCs w:val="28"/>
              </w:rPr>
            </w:pPr>
            <w:r>
              <w:rPr>
                <w:rFonts w:hint="eastAsia" w:ascii="仿宋" w:hAnsi="仿宋" w:eastAsia="仿宋" w:cs="仿宋"/>
                <w:sz w:val="28"/>
                <w:szCs w:val="28"/>
              </w:rPr>
              <w:t>（4）不提供的不得分。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noWrap w:val="0"/>
            <w:vAlign w:val="top"/>
          </w:tcPr>
          <w:p>
            <w:pPr>
              <w:pStyle w:val="7"/>
              <w:jc w:val="center"/>
              <w:rPr>
                <w:rFonts w:ascii="仿宋" w:hAnsi="仿宋" w:eastAsia="仿宋" w:cs="仿宋"/>
                <w:sz w:val="28"/>
                <w:szCs w:val="28"/>
              </w:rPr>
            </w:pPr>
            <w:r>
              <w:rPr>
                <w:rFonts w:ascii="仿宋" w:hAnsi="仿宋" w:eastAsia="仿宋" w:cs="仿宋"/>
                <w:sz w:val="28"/>
                <w:szCs w:val="28"/>
              </w:rPr>
              <w:t>商务部分</w:t>
            </w: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投标人的信用、体系认证情况（1.5分），（等次分值选择：0.0;</w:t>
            </w:r>
            <w:r>
              <w:rPr>
                <w:rFonts w:hint="eastAsia" w:ascii="仿宋" w:hAnsi="仿宋" w:eastAsia="仿宋" w:cs="仿宋"/>
                <w:sz w:val="28"/>
                <w:szCs w:val="28"/>
                <w:lang w:val="en-US" w:eastAsia="zh-CN"/>
              </w:rPr>
              <w:t>0.5</w:t>
            </w: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1.5</w:t>
            </w:r>
            <w:r>
              <w:rPr>
                <w:rFonts w:hint="eastAsia" w:ascii="仿宋" w:hAnsi="仿宋" w:eastAsia="仿宋" w:cs="仿宋"/>
                <w:sz w:val="28"/>
                <w:szCs w:val="28"/>
              </w:rPr>
              <w:t>;）</w:t>
            </w:r>
          </w:p>
        </w:tc>
        <w:tc>
          <w:tcPr>
            <w:tcW w:w="5076"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人具有有效期内的有效的质量管理体系认证证书、环境管理体系认证证书、职业健康安全管理体系认证证书，每具备一项认证得0.5分，最高得1.5分。提供认证证书扫描件，不提供不得分。注：提供上述有效证书及全国认证认可信息公共服务平台查询有效结果截图，复印件/扫描件等证明材料加盖公章，作为评分依据，无提供则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售后服务人员配置（</w:t>
            </w:r>
            <w:r>
              <w:rPr>
                <w:rFonts w:hint="eastAsia" w:ascii="仿宋" w:hAnsi="仿宋" w:eastAsia="仿宋" w:cs="仿宋"/>
                <w:sz w:val="28"/>
                <w:szCs w:val="28"/>
                <w:lang w:val="en-US" w:eastAsia="zh-CN"/>
              </w:rPr>
              <w:t xml:space="preserve"> </w:t>
            </w:r>
            <w:r>
              <w:rPr>
                <w:rFonts w:hint="eastAsia"/>
                <w:sz w:val="28"/>
                <w:szCs w:val="28"/>
                <w:lang w:val="en-US" w:eastAsia="zh-CN"/>
              </w:rPr>
              <w:t>3</w:t>
            </w:r>
            <w:r>
              <w:rPr>
                <w:rFonts w:hint="eastAsia" w:ascii="仿宋" w:hAnsi="仿宋" w:eastAsia="仿宋" w:cs="仿宋"/>
                <w:sz w:val="28"/>
                <w:szCs w:val="28"/>
              </w:rPr>
              <w:t>.0分）（等次分值选择：0.0;</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3.0</w:t>
            </w:r>
            <w:r>
              <w:rPr>
                <w:rFonts w:hint="eastAsia" w:ascii="仿宋" w:hAnsi="仿宋" w:eastAsia="仿宋" w:cs="仿宋"/>
                <w:sz w:val="28"/>
                <w:szCs w:val="28"/>
              </w:rPr>
              <w:t>;）</w:t>
            </w:r>
          </w:p>
        </w:tc>
        <w:tc>
          <w:tcPr>
            <w:tcW w:w="5076"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投标人售后服务人员具备2年或以上医疗设备维修及管理经验的，每提供一个得1分，本小项最高得3分。 注：同一人只按最高经验计分，投标文件提供：①以上人员关于医疗设备的维修记录或维修报告或证明人员经验的相关证明材料复印件并加盖公章。②投标人为其购买的投标截止时间为止近6个月内任意1个月的社保证明复印件，若依法免缴社保的，提供相关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投标人同类可视支气管镜供货业绩的评审（3</w:t>
            </w:r>
            <w:r>
              <w:rPr>
                <w:rFonts w:hint="eastAsia" w:ascii="仿宋" w:hAnsi="仿宋" w:eastAsia="仿宋" w:cs="仿宋"/>
                <w:sz w:val="28"/>
                <w:szCs w:val="28"/>
                <w:lang w:val="en-US" w:eastAsia="zh-CN"/>
              </w:rPr>
              <w:t>.0</w:t>
            </w:r>
            <w:r>
              <w:rPr>
                <w:rFonts w:hint="eastAsia" w:ascii="仿宋" w:hAnsi="仿宋" w:eastAsia="仿宋" w:cs="仿宋"/>
                <w:sz w:val="28"/>
                <w:szCs w:val="28"/>
              </w:rPr>
              <w:t>分）（等次分值选择：0.0;</w:t>
            </w: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3.0</w:t>
            </w:r>
            <w:r>
              <w:rPr>
                <w:rFonts w:hint="eastAsia" w:ascii="仿宋" w:hAnsi="仿宋" w:eastAsia="仿宋" w:cs="仿宋"/>
                <w:sz w:val="28"/>
                <w:szCs w:val="28"/>
              </w:rPr>
              <w:t>;）</w:t>
            </w:r>
          </w:p>
        </w:tc>
        <w:tc>
          <w:tcPr>
            <w:tcW w:w="5076" w:type="dxa"/>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2023年1月1日至今完成的可视支气管镜业绩 (以合同签订时间为准)，每提供1个业绩，得1分，最高得3分 (提供合同复印件，不提供不得分）。注：提供业绩的合同关键页 (包括但不限于项目名称、项目内容、签订时间、双方盖章页)等复印件加盖公章。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noWrap w:val="0"/>
            <w:vAlign w:val="top"/>
          </w:tcPr>
          <w:p>
            <w:pPr>
              <w:rPr>
                <w:rFonts w:hint="eastAsia" w:ascii="仿宋" w:hAnsi="仿宋" w:eastAsia="仿宋" w:cs="仿宋"/>
                <w:sz w:val="48"/>
                <w:szCs w:val="36"/>
              </w:rPr>
            </w:pPr>
          </w:p>
        </w:tc>
        <w:tc>
          <w:tcPr>
            <w:tcW w:w="2307" w:type="dxa"/>
            <w:noWrap w:val="0"/>
            <w:vAlign w:val="top"/>
          </w:tcPr>
          <w:p>
            <w:pPr>
              <w:pStyle w:val="7"/>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产品授权情况</w:t>
            </w:r>
            <w:r>
              <w:rPr>
                <w:rFonts w:ascii="仿宋" w:hAnsi="仿宋" w:eastAsia="仿宋" w:cs="仿宋"/>
                <w:sz w:val="28"/>
                <w:szCs w:val="28"/>
                <w:highlight w:val="none"/>
              </w:rPr>
              <w:t xml:space="preserve"> (</w:t>
            </w:r>
            <w:r>
              <w:rPr>
                <w:rFonts w:hint="eastAsia"/>
                <w:sz w:val="28"/>
                <w:szCs w:val="28"/>
                <w:lang w:val="en-US" w:eastAsia="zh-CN"/>
              </w:rPr>
              <w:t>5</w:t>
            </w:r>
            <w:r>
              <w:rPr>
                <w:rFonts w:ascii="仿宋" w:hAnsi="仿宋" w:eastAsia="仿宋" w:cs="仿宋"/>
                <w:sz w:val="28"/>
                <w:szCs w:val="28"/>
                <w:highlight w:val="none"/>
              </w:rPr>
              <w:t>.0分)</w:t>
            </w:r>
          </w:p>
        </w:tc>
        <w:tc>
          <w:tcPr>
            <w:tcW w:w="5076" w:type="dxa"/>
            <w:noWrap w:val="0"/>
            <w:vAlign w:val="top"/>
          </w:tcPr>
          <w:p>
            <w:pPr>
              <w:pStyle w:val="7"/>
              <w:jc w:val="left"/>
              <w:rPr>
                <w:rFonts w:ascii="仿宋" w:hAnsi="仿宋" w:eastAsia="仿宋" w:cs="仿宋"/>
                <w:sz w:val="28"/>
                <w:szCs w:val="28"/>
                <w:highlight w:val="none"/>
              </w:rPr>
            </w:pPr>
            <w:r>
              <w:rPr>
                <w:rFonts w:hint="eastAsia" w:ascii="仿宋" w:hAnsi="仿宋" w:eastAsia="仿宋" w:cs="仿宋"/>
                <w:sz w:val="28"/>
                <w:szCs w:val="28"/>
                <w:highlight w:val="none"/>
              </w:rPr>
              <w:t>为了保证核心产品具有追溯性且保证质量，投标人为代理商投标响应的，提供生产企业出具的有效授权证明，得5分，若投标人为生产企业投标的（需提供相关证明文件）也得5分，其他不得分。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noWrap w:val="0"/>
            <w:vAlign w:val="top"/>
          </w:tcPr>
          <w:p>
            <w:pPr>
              <w:pStyle w:val="7"/>
              <w:jc w:val="center"/>
              <w:rPr>
                <w:rFonts w:ascii="仿宋" w:hAnsi="仿宋" w:eastAsia="仿宋" w:cs="仿宋"/>
                <w:sz w:val="28"/>
                <w:szCs w:val="28"/>
              </w:rPr>
            </w:pPr>
            <w:r>
              <w:rPr>
                <w:rFonts w:ascii="仿宋" w:hAnsi="仿宋" w:eastAsia="仿宋" w:cs="仿宋"/>
                <w:sz w:val="28"/>
                <w:szCs w:val="28"/>
              </w:rPr>
              <w:t>投标报价</w:t>
            </w:r>
          </w:p>
        </w:tc>
        <w:tc>
          <w:tcPr>
            <w:tcW w:w="2307" w:type="dxa"/>
            <w:noWrap w:val="0"/>
            <w:vAlign w:val="top"/>
          </w:tcPr>
          <w:p>
            <w:pPr>
              <w:pStyle w:val="7"/>
              <w:jc w:val="left"/>
              <w:rPr>
                <w:rFonts w:ascii="仿宋" w:hAnsi="仿宋" w:eastAsia="仿宋" w:cs="仿宋"/>
                <w:sz w:val="28"/>
                <w:szCs w:val="28"/>
              </w:rPr>
            </w:pPr>
            <w:r>
              <w:rPr>
                <w:rFonts w:ascii="仿宋" w:hAnsi="仿宋" w:eastAsia="仿宋" w:cs="仿宋"/>
                <w:sz w:val="28"/>
                <w:szCs w:val="28"/>
              </w:rPr>
              <w:t>投标报价得分 (30.0分)</w:t>
            </w:r>
          </w:p>
        </w:tc>
        <w:tc>
          <w:tcPr>
            <w:tcW w:w="5076" w:type="dxa"/>
            <w:noWrap w:val="0"/>
            <w:vAlign w:val="top"/>
          </w:tcPr>
          <w:p>
            <w:pPr>
              <w:pStyle w:val="7"/>
              <w:jc w:val="left"/>
              <w:rPr>
                <w:rFonts w:ascii="仿宋" w:hAnsi="仿宋" w:eastAsia="仿宋" w:cs="仿宋"/>
                <w:sz w:val="28"/>
                <w:szCs w:val="28"/>
              </w:rPr>
            </w:pPr>
            <w:r>
              <w:rPr>
                <w:rFonts w:hint="eastAsia" w:ascii="仿宋" w:hAnsi="仿宋" w:eastAsia="仿宋" w:cs="仿宋"/>
                <w:sz w:val="28"/>
                <w:szCs w:val="28"/>
              </w:rPr>
              <w:t>投标报价得分＝（评标基准价/投标报价）×价格分值【注：满足招标文件要求且投标价格最低的投标报价为评标基准价。】最低报价不是中标的唯一依据。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3"/>
            <w:noWrap w:val="0"/>
            <w:vAlign w:val="top"/>
          </w:tcPr>
          <w:p>
            <w:pPr>
              <w:pStyle w:val="7"/>
              <w:jc w:val="left"/>
              <w:rPr>
                <w:rFonts w:hint="eastAsia" w:ascii="仿宋" w:hAnsi="仿宋" w:eastAsia="仿宋" w:cs="仿宋"/>
                <w:sz w:val="28"/>
                <w:szCs w:val="28"/>
              </w:rPr>
            </w:pPr>
            <w:r>
              <w:rPr>
                <w:rFonts w:hint="eastAsia" w:ascii="仿宋" w:hAnsi="仿宋" w:eastAsia="仿宋" w:cs="仿宋"/>
                <w:sz w:val="28"/>
                <w:szCs w:val="28"/>
              </w:rPr>
              <w:t>说明：打“★”号条款为实质性条款，若有任何一条负偏离或不满足则导致投标无效。</w:t>
            </w:r>
          </w:p>
          <w:p>
            <w:pPr>
              <w:pStyle w:val="7"/>
              <w:jc w:val="left"/>
              <w:rPr>
                <w:rFonts w:hint="eastAsia" w:ascii="仿宋" w:hAnsi="仿宋" w:eastAsia="仿宋" w:cs="仿宋"/>
                <w:sz w:val="28"/>
                <w:szCs w:val="28"/>
              </w:rPr>
            </w:pPr>
            <w:r>
              <w:rPr>
                <w:rFonts w:hint="eastAsia" w:ascii="仿宋" w:hAnsi="仿宋" w:eastAsia="仿宋" w:cs="仿宋"/>
                <w:sz w:val="28"/>
                <w:szCs w:val="28"/>
              </w:rPr>
              <w:t xml:space="preserve">     打“▲”号条款为重要技术参数，若有部分“▲”条款未响应或不满足，将导致其响应性评审加重扣分，但不作为无效投标条款。</w:t>
            </w:r>
          </w:p>
        </w:tc>
      </w:tr>
    </w:tbl>
    <w:p>
      <w:pPr>
        <w:ind w:left="0" w:leftChars="0" w:firstLine="0" w:firstLineChars="0"/>
        <w:rPr>
          <w:rFonts w:hint="eastAsia"/>
          <w:b w:val="0"/>
          <w:bCs w:val="0"/>
          <w:color w:val="auto"/>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7731"/>
    </w:sdtPr>
    <w:sdtContent>
      <w:p>
        <w:pPr>
          <w:pStyle w:val="3"/>
          <w:ind w:right="320" w:rightChars="100" w:firstLine="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BB47F"/>
    <w:multiLevelType w:val="singleLevel"/>
    <w:tmpl w:val="8A8BB47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F7656"/>
    <w:rsid w:val="0CF36A2E"/>
    <w:rsid w:val="0FBC1CF7"/>
    <w:rsid w:val="172A3039"/>
    <w:rsid w:val="17A07D31"/>
    <w:rsid w:val="17ED7296"/>
    <w:rsid w:val="1A4C7E42"/>
    <w:rsid w:val="1B4072CF"/>
    <w:rsid w:val="1F6E3B83"/>
    <w:rsid w:val="23246E26"/>
    <w:rsid w:val="249F4923"/>
    <w:rsid w:val="2519045A"/>
    <w:rsid w:val="25AE4382"/>
    <w:rsid w:val="272E21F1"/>
    <w:rsid w:val="299A658A"/>
    <w:rsid w:val="2F821CF5"/>
    <w:rsid w:val="37D67616"/>
    <w:rsid w:val="435C5686"/>
    <w:rsid w:val="460A6814"/>
    <w:rsid w:val="460B2282"/>
    <w:rsid w:val="4D123926"/>
    <w:rsid w:val="4F1C077B"/>
    <w:rsid w:val="5A3D71F8"/>
    <w:rsid w:val="5E2A0F74"/>
    <w:rsid w:val="5F3D0CF1"/>
    <w:rsid w:val="619837A2"/>
    <w:rsid w:val="66726677"/>
    <w:rsid w:val="697B20B5"/>
    <w:rsid w:val="6BF3078D"/>
    <w:rsid w:val="70FA5E09"/>
    <w:rsid w:val="713C72A9"/>
    <w:rsid w:val="7441160E"/>
    <w:rsid w:val="74533A62"/>
    <w:rsid w:val="7A2128EC"/>
    <w:rsid w:val="7FFD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41"/>
      <w:jc w:val="both"/>
    </w:pPr>
    <w:rPr>
      <w:rFonts w:ascii="Times New Roman" w:hAnsi="Times New Roman" w:eastAsia="仿宋_GB2312" w:cs="Times New Roman"/>
      <w:kern w:val="2"/>
      <w:sz w:val="32"/>
      <w:szCs w:val="22"/>
      <w:lang w:val="en-US" w:eastAsia="zh-CN" w:bidi="ar-SA"/>
    </w:rPr>
  </w:style>
  <w:style w:type="paragraph" w:styleId="2">
    <w:name w:val="heading 3"/>
    <w:basedOn w:val="1"/>
    <w:next w:val="1"/>
    <w:semiHidden/>
    <w:unhideWhenUsed/>
    <w:qFormat/>
    <w:uiPriority w:val="0"/>
    <w:pPr>
      <w:keepNext/>
      <w:keepLines/>
      <w:spacing w:before="260" w:after="260" w:line="416" w:lineRule="atLeast"/>
      <w:outlineLvl w:val="2"/>
    </w:pPr>
    <w:rPr>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customStyle="1" w:styleId="6">
    <w:name w:val="表格文字"/>
    <w:basedOn w:val="1"/>
    <w:qFormat/>
    <w:uiPriority w:val="0"/>
    <w:pPr>
      <w:autoSpaceDE/>
      <w:autoSpaceDN/>
      <w:adjustRightInd/>
      <w:snapToGrid w:val="0"/>
      <w:spacing w:before="25" w:after="25"/>
    </w:pPr>
    <w:rPr>
      <w:rFonts w:ascii="Calibri" w:hAnsi="Calibri" w:eastAsia="Calibri" w:cs="Times New Roman"/>
      <w:bCs/>
      <w:spacing w:val="10"/>
      <w:sz w:val="24"/>
      <w:szCs w:val="20"/>
      <w:lang w:eastAsia="en-US"/>
    </w:rPr>
  </w:style>
  <w:style w:type="paragraph" w:customStyle="1" w:styleId="7">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3225</Words>
  <Characters>3323</Characters>
  <Lines>0</Lines>
  <Paragraphs>0</Paragraphs>
  <TotalTime>2</TotalTime>
  <ScaleCrop>false</ScaleCrop>
  <LinksUpToDate>false</LinksUpToDate>
  <CharactersWithSpaces>3333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2025-06-16T09:47:00Z</dcterms:created>
  <dc:creator>Administrator</dc:creator>
  <cp:lastModifiedBy>醒姑娘</cp:lastModifiedBy>
  <dcterms:modified xsi:type="dcterms:W3CDTF">2025-09-09T09:36:13Z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DocerSaveRecord">
    <vt:lpwstr>eyJoZGlkIjoiNjg0NzQ0NmNmYjlhYmM0NDBmZTg1MDM0MTljOTVkODIiLCJ1c2VySWQiOiI5Nzc1Mzc4NzAifQ==</vt:lpwstr>
  </property>
  <property fmtid="{D5CDD505-2E9C-101B-9397-08002B2CF9AE}" pid="4" name="ICV">
    <vt:lpwstr>2B1B69E9147B4304959453147BB16CD3_12</vt:lpwstr>
  </property>
</Properties>
</file>