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66219">
      <w:pPr>
        <w:ind w:left="0" w:leftChars="0" w:firstLine="0" w:firstLineChars="0"/>
        <w:rPr>
          <w:rFonts w:hint="default"/>
          <w:b w:val="0"/>
          <w:bCs w:val="0"/>
          <w:color w:val="auto"/>
          <w:highlight w:val="none"/>
          <w:lang w:val="en-US" w:eastAsia="zh-CN"/>
        </w:rPr>
      </w:pPr>
      <w:r>
        <w:rPr>
          <w:rFonts w:hint="eastAsia"/>
          <w:b/>
          <w:bCs/>
          <w:color w:val="auto"/>
          <w:highlight w:val="none"/>
          <w:lang w:val="en-US" w:eastAsia="zh-CN"/>
        </w:rPr>
        <w:t>附件</w:t>
      </w:r>
      <w:r>
        <w:rPr>
          <w:rFonts w:hint="eastAsia" w:ascii="仿宋_GB2312" w:hAnsi="仿宋_GB2312" w:cs="仿宋_GB2312"/>
          <w:b/>
          <w:bCs/>
          <w:color w:val="auto"/>
          <w:highlight w:val="none"/>
          <w:lang w:val="en-US" w:eastAsia="zh-CN"/>
        </w:rPr>
        <w:t>5</w:t>
      </w:r>
      <w:bookmarkStart w:id="0" w:name="_GoBack"/>
      <w:bookmarkEnd w:id="0"/>
      <w:r>
        <w:rPr>
          <w:rFonts w:hint="eastAsia" w:ascii="仿宋_GB2312" w:hAnsi="仿宋_GB2312" w:eastAsia="仿宋_GB2312" w:cs="仿宋_GB2312"/>
          <w:b/>
          <w:bCs/>
          <w:color w:val="auto"/>
          <w:highlight w:val="none"/>
          <w:lang w:val="en-US" w:eastAsia="zh-CN"/>
        </w:rPr>
        <w:t>：</w:t>
      </w:r>
    </w:p>
    <w:p w14:paraId="593F3B1B">
      <w:pPr>
        <w:pStyle w:val="3"/>
        <w:ind w:firstLine="0"/>
        <w:jc w:val="center"/>
        <w:rPr>
          <w:rFonts w:hint="default"/>
          <w:color w:val="auto"/>
          <w:lang w:val="en-US" w:eastAsia="zh-CN"/>
        </w:rPr>
      </w:pPr>
      <w:r>
        <w:rPr>
          <w:rFonts w:hint="eastAsia"/>
          <w:color w:val="auto"/>
          <w:lang w:val="en-US" w:eastAsia="zh-CN"/>
        </w:rPr>
        <w:t>全自动台式荧光免疫分析仪</w:t>
      </w:r>
      <w:r>
        <w:rPr>
          <w:rFonts w:hint="eastAsia"/>
          <w:color w:val="auto"/>
          <w:lang w:eastAsia="zh-CN"/>
        </w:rPr>
        <w:t>参数配置要求</w:t>
      </w:r>
    </w:p>
    <w:p w14:paraId="507B71F1">
      <w:pPr>
        <w:numPr>
          <w:ilvl w:val="0"/>
          <w:numId w:val="0"/>
        </w:numPr>
        <w:ind w:leftChars="0"/>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（一）项目总体要求</w:t>
      </w:r>
    </w:p>
    <w:p w14:paraId="532C4BA8">
      <w:pPr>
        <w:pStyle w:val="3"/>
        <w:numPr>
          <w:ilvl w:val="0"/>
          <w:numId w:val="0"/>
        </w:numP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★所投产品具有有效的医疗器械注册证明。</w:t>
      </w:r>
      <w:r>
        <w:rPr>
          <w:rFonts w:hint="eastAsia" w:ascii="仿宋_GB2312" w:hAnsi="仿宋_GB2312" w:eastAsia="仿宋_GB2312" w:cs="仿宋_GB2312"/>
          <w:b w:val="0"/>
          <w:bCs w:val="0"/>
          <w:color w:val="auto"/>
          <w:kern w:val="2"/>
          <w:sz w:val="32"/>
          <w:szCs w:val="32"/>
          <w:highlight w:val="none"/>
          <w:lang w:val="en-US" w:eastAsia="zh-CN" w:bidi="ar-SA"/>
        </w:rPr>
        <w:t>开展项目所需的试剂、耗材（不作医疗器械管理的除外）均取得国家药品监督管理局相关注册证明</w:t>
      </w:r>
      <w:r>
        <w:rPr>
          <w:rFonts w:hint="eastAsia" w:ascii="仿宋_GB2312" w:hAnsi="仿宋_GB2312" w:cs="仿宋_GB2312"/>
          <w:b w:val="0"/>
          <w:bCs w:val="0"/>
          <w:color w:val="auto"/>
          <w:kern w:val="2"/>
          <w:sz w:val="32"/>
          <w:szCs w:val="32"/>
          <w:highlight w:val="none"/>
          <w:lang w:val="en-US" w:eastAsia="zh-CN" w:bidi="ar-SA"/>
        </w:rPr>
        <w:t>并在国家医疗保障信息平台药品和医用耗材招采管理子系统（简称新招采子系统）目录内。</w:t>
      </w:r>
      <w:r>
        <w:rPr>
          <w:rFonts w:hint="eastAsia" w:ascii="仿宋_GB2312" w:hAnsi="仿宋_GB2312" w:eastAsia="仿宋_GB2312" w:cs="仿宋_GB2312"/>
          <w:b w:val="0"/>
          <w:bCs w:val="0"/>
          <w:color w:val="auto"/>
          <w:kern w:val="2"/>
          <w:sz w:val="32"/>
          <w:szCs w:val="32"/>
          <w:lang w:val="en-US" w:eastAsia="zh-CN" w:bidi="ar-SA"/>
        </w:rPr>
        <w:t xml:space="preserve"> </w:t>
      </w:r>
    </w:p>
    <w:p w14:paraId="6B81CDDB">
      <w:pPr>
        <w:numPr>
          <w:ilvl w:val="0"/>
          <w:numId w:val="0"/>
        </w:numPr>
        <w:ind w:left="0" w:leftChars="0" w:firstLine="0" w:firstLineChars="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kern w:val="2"/>
          <w:sz w:val="32"/>
          <w:szCs w:val="32"/>
          <w:lang w:val="en-US" w:eastAsia="zh-CN" w:bidi="ar-SA"/>
        </w:rPr>
        <w:t>（二）</w:t>
      </w:r>
      <w:r>
        <w:rPr>
          <w:rFonts w:hint="eastAsia" w:ascii="仿宋_GB2312" w:hAnsi="仿宋_GB2312" w:eastAsia="仿宋_GB2312" w:cs="仿宋_GB2312"/>
          <w:b/>
          <w:bCs/>
          <w:color w:val="auto"/>
          <w:sz w:val="32"/>
          <w:szCs w:val="32"/>
          <w:lang w:eastAsia="zh-CN"/>
        </w:rPr>
        <w:t>技术参数要求</w:t>
      </w:r>
    </w:p>
    <w:p w14:paraId="7FB94825">
      <w:pPr>
        <w:numPr>
          <w:ilvl w:val="0"/>
          <w:numId w:val="0"/>
        </w:numPr>
        <w:ind w:left="0" w:leftChars="0" w:firstLine="327" w:firstLineChars="1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color w:val="auto"/>
          <w:sz w:val="32"/>
          <w:szCs w:val="32"/>
          <w:lang w:val="en-US" w:eastAsia="zh-CN"/>
        </w:rPr>
        <w:t>检测原理：荧光免疫法；</w:t>
      </w:r>
    </w:p>
    <w:p w14:paraId="2BEAE01B">
      <w:pPr>
        <w:numPr>
          <w:ilvl w:val="0"/>
          <w:numId w:val="0"/>
        </w:numPr>
        <w:rPr>
          <w:rFonts w:hint="eastAsia" w:ascii="仿宋" w:hAnsi="仿宋" w:eastAsia="仿宋" w:cs="仿宋"/>
          <w:b w:val="0"/>
          <w:bCs w:val="0"/>
          <w:color w:val="auto"/>
          <w:sz w:val="32"/>
          <w:szCs w:val="32"/>
          <w:lang w:val="en-US" w:eastAsia="zh-CN"/>
        </w:rPr>
      </w:pPr>
      <w:r>
        <w:rPr>
          <w:rFonts w:hint="eastAsia" w:ascii="仿宋_GB2312" w:hAnsi="仿宋_GB2312" w:eastAsia="仿宋_GB2312" w:cs="仿宋_GB2312"/>
          <w:color w:val="auto"/>
          <w:sz w:val="32"/>
          <w:szCs w:val="32"/>
          <w:highlight w:val="none"/>
        </w:rPr>
        <w:t>▲</w:t>
      </w:r>
      <w:r>
        <w:rPr>
          <w:rFonts w:hint="default" w:ascii="仿宋" w:hAnsi="仿宋" w:eastAsia="仿宋" w:cs="仿宋"/>
          <w:b w:val="0"/>
          <w:bCs w:val="0"/>
          <w:color w:val="auto"/>
          <w:kern w:val="2"/>
          <w:sz w:val="32"/>
          <w:szCs w:val="32"/>
          <w:lang w:val="en-US" w:eastAsia="zh-CN" w:bidi="ar-SA"/>
        </w:rPr>
        <w:t>2、</w:t>
      </w:r>
      <w:r>
        <w:rPr>
          <w:rFonts w:hint="eastAsia" w:ascii="仿宋" w:hAnsi="仿宋" w:eastAsia="仿宋" w:cs="仿宋"/>
          <w:b w:val="0"/>
          <w:bCs w:val="0"/>
          <w:color w:val="auto"/>
          <w:sz w:val="32"/>
          <w:szCs w:val="32"/>
          <w:lang w:val="en-US" w:eastAsia="zh-CN"/>
        </w:rPr>
        <w:t>检测速度：≥120个/小时；</w:t>
      </w:r>
    </w:p>
    <w:p w14:paraId="270EFECF">
      <w:pPr>
        <w:numPr>
          <w:ilvl w:val="0"/>
          <w:numId w:val="0"/>
        </w:numPr>
        <w:ind w:left="0" w:leftChars="0" w:firstLine="327" w:firstLineChars="1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3、样本位≥50个；</w:t>
      </w:r>
    </w:p>
    <w:p w14:paraId="359A7C90">
      <w:pPr>
        <w:numPr>
          <w:ilvl w:val="0"/>
          <w:numId w:val="0"/>
        </w:numPr>
        <w:rPr>
          <w:rFonts w:hint="default" w:ascii="仿宋" w:hAnsi="仿宋" w:eastAsia="仿宋" w:cs="仿宋"/>
          <w:b w:val="0"/>
          <w:bCs w:val="0"/>
          <w:color w:val="auto"/>
          <w:sz w:val="32"/>
          <w:szCs w:val="32"/>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w:t>
      </w:r>
      <w:r>
        <w:rPr>
          <w:rFonts w:hint="eastAsia" w:ascii="仿宋" w:hAnsi="仿宋" w:eastAsia="仿宋" w:cs="仿宋"/>
          <w:b w:val="0"/>
          <w:bCs w:val="0"/>
          <w:color w:val="auto"/>
          <w:sz w:val="32"/>
          <w:szCs w:val="32"/>
          <w:lang w:val="en-US" w:eastAsia="zh-CN"/>
        </w:rPr>
        <w:t>4、检测项目包括：高敏肌钙蛋白、B型钠尿肽、氨基末端钠尿肽前体、D二聚体；</w:t>
      </w:r>
    </w:p>
    <w:p w14:paraId="3416D7E2">
      <w:pPr>
        <w:numPr>
          <w:ilvl w:val="0"/>
          <w:numId w:val="0"/>
        </w:numPr>
        <w:rPr>
          <w:rFonts w:hint="default" w:ascii="仿宋" w:hAnsi="仿宋" w:eastAsia="仿宋" w:cs="仿宋"/>
          <w:b w:val="0"/>
          <w:bCs w:val="0"/>
          <w:color w:val="auto"/>
          <w:sz w:val="32"/>
          <w:szCs w:val="32"/>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w:t>
      </w:r>
      <w:r>
        <w:rPr>
          <w:rFonts w:hint="eastAsia" w:ascii="仿宋_GB2312" w:hAnsi="仿宋_GB2312" w:cs="仿宋_GB2312"/>
          <w:b w:val="0"/>
          <w:bCs w:val="0"/>
          <w:color w:val="000000"/>
          <w:kern w:val="2"/>
          <w:sz w:val="32"/>
          <w:szCs w:val="32"/>
          <w:highlight w:val="none"/>
          <w:lang w:val="en-US" w:eastAsia="zh-CN" w:bidi="ar-SA"/>
        </w:rPr>
        <w:t>5、</w:t>
      </w:r>
      <w:r>
        <w:rPr>
          <w:rFonts w:hint="eastAsia" w:ascii="仿宋" w:hAnsi="仿宋" w:eastAsia="仿宋" w:cs="仿宋"/>
          <w:b w:val="0"/>
          <w:bCs w:val="0"/>
          <w:color w:val="auto"/>
          <w:sz w:val="32"/>
          <w:szCs w:val="32"/>
          <w:lang w:val="en-US" w:eastAsia="zh-CN"/>
        </w:rPr>
        <w:t>从上机到结果出具时间：高敏肌钙蛋白≤10分钟；氨基末端钠尿肽前体：≤10分钟、B型钠尿肽≤10分钟、D二聚体≤10分钟；</w:t>
      </w:r>
    </w:p>
    <w:p w14:paraId="4D491127">
      <w:pPr>
        <w:numPr>
          <w:ilvl w:val="0"/>
          <w:numId w:val="0"/>
        </w:numPr>
        <w:rPr>
          <w:rFonts w:hint="eastAsia" w:ascii="仿宋" w:hAnsi="仿宋" w:eastAsia="仿宋" w:cs="仿宋"/>
          <w:b w:val="0"/>
          <w:bCs w:val="0"/>
          <w:color w:val="auto"/>
          <w:sz w:val="32"/>
          <w:szCs w:val="32"/>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w:t>
      </w:r>
      <w:r>
        <w:rPr>
          <w:rFonts w:hint="eastAsia" w:ascii="仿宋_GB2312" w:hAnsi="仿宋_GB2312" w:cs="仿宋_GB2312"/>
          <w:b w:val="0"/>
          <w:bCs w:val="0"/>
          <w:color w:val="000000"/>
          <w:kern w:val="2"/>
          <w:sz w:val="32"/>
          <w:szCs w:val="32"/>
          <w:highlight w:val="none"/>
          <w:lang w:val="en-US" w:eastAsia="zh-CN" w:bidi="ar-SA"/>
        </w:rPr>
        <w:t>6</w:t>
      </w:r>
      <w:r>
        <w:rPr>
          <w:rFonts w:hint="default"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sz w:val="32"/>
          <w:szCs w:val="32"/>
          <w:lang w:val="en-US" w:eastAsia="zh-CN"/>
        </w:rPr>
        <w:t>标本类型：全血；</w:t>
      </w:r>
    </w:p>
    <w:p w14:paraId="3CC764AE">
      <w:pPr>
        <w:numPr>
          <w:ilvl w:val="0"/>
          <w:numId w:val="0"/>
        </w:numPr>
        <w:rPr>
          <w:rFonts w:hint="default" w:ascii="仿宋" w:hAnsi="仿宋" w:eastAsia="仿宋" w:cs="仿宋"/>
          <w:b w:val="0"/>
          <w:bCs w:val="0"/>
          <w:color w:val="auto"/>
          <w:sz w:val="32"/>
          <w:szCs w:val="32"/>
          <w:lang w:val="en-US" w:eastAsia="zh-CN"/>
        </w:rPr>
      </w:pPr>
      <w:r>
        <w:rPr>
          <w:rFonts w:hint="eastAsia" w:ascii="仿宋_GB2312" w:hAnsi="仿宋_GB2312" w:eastAsia="仿宋_GB2312" w:cs="仿宋_GB2312"/>
          <w:color w:val="auto"/>
          <w:sz w:val="32"/>
          <w:szCs w:val="32"/>
          <w:highlight w:val="none"/>
        </w:rPr>
        <w:t>▲</w:t>
      </w:r>
      <w:r>
        <w:rPr>
          <w:rFonts w:hint="eastAsia" w:ascii="仿宋" w:hAnsi="仿宋" w:eastAsia="仿宋" w:cs="仿宋"/>
          <w:b w:val="0"/>
          <w:bCs w:val="0"/>
          <w:color w:val="auto"/>
          <w:sz w:val="32"/>
          <w:szCs w:val="32"/>
          <w:lang w:val="en-US" w:eastAsia="zh-CN"/>
        </w:rPr>
        <w:t>7、无须手工操作，为全自动上样检测；</w:t>
      </w:r>
    </w:p>
    <w:p w14:paraId="6CAB42D9">
      <w:pPr>
        <w:numPr>
          <w:ilvl w:val="0"/>
          <w:numId w:val="0"/>
        </w:numPr>
        <w:rPr>
          <w:rFonts w:hint="default" w:ascii="仿宋" w:hAnsi="仿宋" w:eastAsia="仿宋" w:cs="仿宋"/>
          <w:b w:val="0"/>
          <w:bCs w:val="0"/>
          <w:color w:val="auto"/>
          <w:sz w:val="32"/>
          <w:szCs w:val="32"/>
          <w:lang w:val="en-US" w:eastAsia="zh-CN"/>
        </w:rPr>
      </w:pPr>
      <w:r>
        <w:rPr>
          <w:rFonts w:hint="eastAsia" w:ascii="仿宋_GB2312" w:hAnsi="仿宋_GB2312" w:eastAsia="仿宋_GB2312" w:cs="仿宋_GB2312"/>
          <w:color w:val="auto"/>
          <w:sz w:val="32"/>
          <w:szCs w:val="32"/>
          <w:highlight w:val="none"/>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b w:val="0"/>
          <w:bCs w:val="0"/>
          <w:color w:val="auto"/>
          <w:sz w:val="32"/>
          <w:szCs w:val="32"/>
          <w:lang w:val="en-US" w:eastAsia="zh-CN"/>
        </w:rPr>
        <w:t>、支持原始管上样，无须手工去盖；</w:t>
      </w:r>
    </w:p>
    <w:p w14:paraId="3055F9CC">
      <w:pPr>
        <w:numPr>
          <w:ilvl w:val="0"/>
          <w:numId w:val="0"/>
        </w:numPr>
        <w:rPr>
          <w:rFonts w:hint="default" w:ascii="仿宋" w:hAnsi="仿宋" w:eastAsia="仿宋" w:cs="仿宋"/>
          <w:b w:val="0"/>
          <w:bCs w:val="0"/>
          <w:color w:val="auto"/>
          <w:sz w:val="32"/>
          <w:szCs w:val="32"/>
          <w:lang w:val="en-US" w:eastAsia="zh-CN"/>
        </w:rPr>
      </w:pPr>
      <w:r>
        <w:rPr>
          <w:rFonts w:hint="eastAsia" w:ascii="仿宋_GB2312" w:hAnsi="仿宋_GB2312" w:eastAsia="仿宋_GB2312" w:cs="仿宋_GB2312"/>
          <w:color w:val="auto"/>
          <w:sz w:val="32"/>
          <w:szCs w:val="32"/>
          <w:highlight w:val="none"/>
        </w:rPr>
        <w:t>▲</w:t>
      </w:r>
      <w:r>
        <w:rPr>
          <w:rFonts w:hint="eastAsia" w:ascii="仿宋" w:hAnsi="仿宋" w:eastAsia="仿宋" w:cs="仿宋"/>
          <w:color w:val="auto"/>
          <w:sz w:val="32"/>
          <w:szCs w:val="32"/>
          <w:highlight w:val="none"/>
          <w:lang w:val="en-US" w:eastAsia="zh-CN"/>
        </w:rPr>
        <w:t>9</w:t>
      </w:r>
      <w:r>
        <w:rPr>
          <w:rFonts w:hint="eastAsia" w:ascii="仿宋" w:hAnsi="仿宋" w:eastAsia="仿宋" w:cs="仿宋"/>
          <w:b w:val="0"/>
          <w:bCs w:val="0"/>
          <w:color w:val="auto"/>
          <w:sz w:val="32"/>
          <w:szCs w:val="32"/>
          <w:lang w:val="en-US" w:eastAsia="zh-CN"/>
        </w:rPr>
        <w:t>、加样方式：一次性Tip头加样避免交叉污染；</w:t>
      </w:r>
    </w:p>
    <w:p w14:paraId="421E2E34">
      <w:pPr>
        <w:numPr>
          <w:ilvl w:val="0"/>
          <w:numId w:val="0"/>
        </w:numPr>
        <w:ind w:firstLine="327" w:firstLineChars="1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10</w:t>
      </w:r>
      <w:r>
        <w:rPr>
          <w:rFonts w:hint="default"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sz w:val="32"/>
          <w:szCs w:val="32"/>
          <w:lang w:val="en-US" w:eastAsia="zh-CN"/>
        </w:rPr>
        <w:t>标本用量：≤100μL；</w:t>
      </w:r>
    </w:p>
    <w:p w14:paraId="7D3E277D">
      <w:pPr>
        <w:numPr>
          <w:ilvl w:val="0"/>
          <w:numId w:val="0"/>
        </w:numPr>
        <w:ind w:left="0" w:leftChars="0" w:firstLine="327" w:firstLineChars="100"/>
        <w:rPr>
          <w:rFonts w:hint="default"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11、高敏肌钙蛋白检出限：≤0.01ng/mL,BNP线性范围：≥10mg/L;</w:t>
      </w:r>
    </w:p>
    <w:p w14:paraId="0F9E4061">
      <w:pPr>
        <w:numPr>
          <w:ilvl w:val="0"/>
          <w:numId w:val="0"/>
        </w:numPr>
        <w:ind w:left="0" w:leftChars="0" w:firstLine="327" w:firstLineChars="1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12</w:t>
      </w:r>
      <w:r>
        <w:rPr>
          <w:rFonts w:hint="default"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sz w:val="32"/>
          <w:szCs w:val="32"/>
          <w:lang w:val="en-US" w:eastAsia="zh-CN"/>
        </w:rPr>
        <w:t>数据储存量：可储存≥10万个结果；</w:t>
      </w:r>
    </w:p>
    <w:p w14:paraId="151C0319">
      <w:pPr>
        <w:numPr>
          <w:ilvl w:val="0"/>
          <w:numId w:val="0"/>
        </w:numPr>
        <w:rPr>
          <w:rFonts w:hint="eastAsia" w:ascii="仿宋" w:hAnsi="仿宋" w:eastAsia="仿宋" w:cs="仿宋"/>
          <w:b w:val="0"/>
          <w:bCs w:val="0"/>
          <w:color w:val="auto"/>
          <w:sz w:val="32"/>
          <w:szCs w:val="32"/>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w:t>
      </w:r>
      <w:r>
        <w:rPr>
          <w:rFonts w:hint="eastAsia" w:ascii="仿宋" w:hAnsi="仿宋" w:eastAsia="仿宋" w:cs="仿宋"/>
          <w:color w:val="auto"/>
          <w:sz w:val="32"/>
          <w:szCs w:val="32"/>
          <w:highlight w:val="none"/>
          <w:lang w:val="en-US" w:eastAsia="zh-CN"/>
        </w:rPr>
        <w:t>13</w:t>
      </w:r>
      <w:r>
        <w:rPr>
          <w:rFonts w:hint="default"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sz w:val="32"/>
          <w:szCs w:val="32"/>
          <w:lang w:val="en-US" w:eastAsia="zh-CN"/>
        </w:rPr>
        <w:t>桌面台式机；</w:t>
      </w:r>
    </w:p>
    <w:p w14:paraId="0EE76C2E">
      <w:pPr>
        <w:numPr>
          <w:ilvl w:val="0"/>
          <w:numId w:val="0"/>
        </w:numPr>
        <w:rPr>
          <w:rFonts w:hint="default" w:ascii="仿宋" w:hAnsi="仿宋" w:eastAsia="仿宋" w:cs="仿宋"/>
          <w:b w:val="0"/>
          <w:bCs w:val="0"/>
          <w:color w:val="auto"/>
          <w:sz w:val="32"/>
          <w:szCs w:val="32"/>
          <w:lang w:val="en-US" w:eastAsia="zh-CN"/>
        </w:rPr>
      </w:pPr>
      <w:r>
        <w:rPr>
          <w:rFonts w:hint="eastAsia" w:ascii="仿宋_GB2312" w:hAnsi="仿宋_GB2312" w:eastAsia="仿宋_GB2312" w:cs="仿宋_GB2312"/>
          <w:color w:val="auto"/>
          <w:sz w:val="32"/>
          <w:szCs w:val="32"/>
          <w:highlight w:val="none"/>
        </w:rPr>
        <w:t>▲</w:t>
      </w:r>
      <w:r>
        <w:rPr>
          <w:rFonts w:hint="eastAsia" w:ascii="仿宋" w:hAnsi="仿宋" w:eastAsia="仿宋" w:cs="仿宋"/>
          <w:b w:val="0"/>
          <w:bCs w:val="0"/>
          <w:color w:val="auto"/>
          <w:sz w:val="32"/>
          <w:szCs w:val="32"/>
          <w:lang w:val="en-US" w:eastAsia="zh-CN"/>
        </w:rPr>
        <w:t>14、仪器尺寸：长≤650mm，宽≤700mm，高≤700mm</w:t>
      </w:r>
    </w:p>
    <w:p w14:paraId="2A569754">
      <w:pPr>
        <w:numPr>
          <w:ilvl w:val="0"/>
          <w:numId w:val="0"/>
        </w:numPr>
        <w:jc w:val="left"/>
        <w:rPr>
          <w:rFonts w:hint="eastAsia" w:ascii="仿宋" w:hAnsi="仿宋" w:eastAsia="仿宋" w:cs="仿宋"/>
          <w:color w:val="auto"/>
          <w:sz w:val="32"/>
          <w:szCs w:val="32"/>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w:t>
      </w:r>
      <w:r>
        <w:rPr>
          <w:rFonts w:hint="eastAsia" w:ascii="仿宋" w:hAnsi="仿宋" w:eastAsia="仿宋" w:cs="仿宋"/>
          <w:b w:val="0"/>
          <w:bCs w:val="0"/>
          <w:color w:val="auto"/>
          <w:kern w:val="2"/>
          <w:sz w:val="32"/>
          <w:szCs w:val="32"/>
          <w:lang w:val="en-US" w:eastAsia="zh-CN" w:bidi="ar-SA"/>
        </w:rPr>
        <w:t>15</w:t>
      </w:r>
      <w:r>
        <w:rPr>
          <w:rFonts w:hint="eastAsia" w:ascii="仿宋" w:hAnsi="仿宋" w:eastAsia="仿宋" w:cs="仿宋"/>
          <w:color w:val="auto"/>
          <w:kern w:val="2"/>
          <w:sz w:val="32"/>
          <w:szCs w:val="32"/>
          <w:lang w:val="en-US" w:eastAsia="zh-CN" w:bidi="ar-SA"/>
        </w:rPr>
        <w:t>、</w:t>
      </w:r>
      <w:r>
        <w:rPr>
          <w:rFonts w:hint="eastAsia" w:ascii="仿宋" w:hAnsi="仿宋" w:eastAsia="仿宋" w:cs="仿宋"/>
          <w:color w:val="auto"/>
          <w:sz w:val="32"/>
          <w:szCs w:val="32"/>
          <w:lang w:val="en-US" w:eastAsia="zh-CN"/>
        </w:rPr>
        <w:t>能自动识别条码，实现LIS双向传输功能，费用包含在投标报价中；</w:t>
      </w:r>
    </w:p>
    <w:p w14:paraId="213D1CC1">
      <w:pPr>
        <w:numPr>
          <w:ilvl w:val="0"/>
          <w:numId w:val="0"/>
        </w:numPr>
        <w:ind w:firstLine="327"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16、</w:t>
      </w:r>
      <w:r>
        <w:rPr>
          <w:rFonts w:hint="eastAsia" w:ascii="仿宋" w:hAnsi="仿宋" w:eastAsia="仿宋" w:cs="仿宋"/>
          <w:color w:val="auto"/>
          <w:sz w:val="32"/>
          <w:szCs w:val="32"/>
          <w:lang w:val="en-US" w:eastAsia="zh-CN"/>
        </w:rPr>
        <w:t>仪器故障即时响应（含远程指导）；</w:t>
      </w:r>
    </w:p>
    <w:p w14:paraId="35DD86D4">
      <w:pPr>
        <w:numPr>
          <w:ilvl w:val="0"/>
          <w:numId w:val="0"/>
        </w:numPr>
        <w:jc w:val="left"/>
        <w:rPr>
          <w:rFonts w:hint="eastAsia" w:ascii="仿宋" w:hAnsi="仿宋" w:eastAsia="仿宋" w:cs="仿宋"/>
          <w:color w:val="auto"/>
          <w:sz w:val="32"/>
          <w:szCs w:val="32"/>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w:t>
      </w:r>
      <w:r>
        <w:rPr>
          <w:rFonts w:hint="eastAsia" w:ascii="仿宋" w:hAnsi="仿宋" w:eastAsia="仿宋" w:cs="仿宋"/>
          <w:color w:val="auto"/>
          <w:kern w:val="2"/>
          <w:sz w:val="32"/>
          <w:szCs w:val="32"/>
          <w:lang w:val="en-US" w:eastAsia="zh-CN" w:bidi="ar-SA"/>
        </w:rPr>
        <w:t>17、</w:t>
      </w:r>
      <w:r>
        <w:rPr>
          <w:rFonts w:hint="eastAsia" w:ascii="仿宋" w:hAnsi="仿宋" w:eastAsia="仿宋" w:cs="仿宋"/>
          <w:color w:val="auto"/>
          <w:sz w:val="32"/>
          <w:szCs w:val="32"/>
          <w:lang w:val="en-US" w:eastAsia="zh-CN"/>
        </w:rPr>
        <w:t>五年全面保养、保修及终生校准，费用包含在投标报价中；</w:t>
      </w:r>
    </w:p>
    <w:p w14:paraId="50DD4224">
      <w:pPr>
        <w:numPr>
          <w:ilvl w:val="0"/>
          <w:numId w:val="0"/>
        </w:numPr>
        <w:ind w:firstLine="327"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18、</w:t>
      </w:r>
      <w:r>
        <w:rPr>
          <w:rFonts w:hint="eastAsia" w:ascii="仿宋" w:hAnsi="仿宋" w:eastAsia="仿宋" w:cs="仿宋"/>
          <w:color w:val="auto"/>
          <w:sz w:val="32"/>
          <w:szCs w:val="32"/>
          <w:lang w:val="en-US" w:eastAsia="zh-CN"/>
        </w:rPr>
        <w:t>提供至少3家2025年国内知名三甲医院客户清单，并提供设备供货发票。</w:t>
      </w:r>
    </w:p>
    <w:p w14:paraId="1B326AE2">
      <w:pPr>
        <w:pStyle w:val="3"/>
        <w:ind w:firstLine="0"/>
        <w:rPr>
          <w:rFonts w:hint="eastAsia"/>
          <w:color w:val="auto"/>
          <w:lang w:eastAsia="zh-CN"/>
        </w:rPr>
      </w:pPr>
      <w:r>
        <w:rPr>
          <w:rFonts w:hint="eastAsia"/>
          <w:color w:val="auto"/>
          <w:lang w:val="en-US" w:eastAsia="zh-CN"/>
        </w:rPr>
        <w:t>（三）</w:t>
      </w:r>
      <w:r>
        <w:rPr>
          <w:rFonts w:hint="eastAsia"/>
          <w:color w:val="auto"/>
        </w:rPr>
        <w:t>试剂、耗材</w:t>
      </w:r>
      <w:r>
        <w:rPr>
          <w:rFonts w:hint="eastAsia"/>
          <w:color w:val="auto"/>
          <w:lang w:eastAsia="zh-CN"/>
        </w:rPr>
        <w:t>要求</w:t>
      </w:r>
    </w:p>
    <w:p w14:paraId="374BAADB">
      <w:pPr>
        <w:adjustRightInd w:val="0"/>
        <w:snapToGrid w:val="0"/>
        <w:spacing w:line="360" w:lineRule="auto"/>
        <w:ind w:left="0" w:leftChars="0" w:firstLine="0" w:firstLineChars="0"/>
        <w:rPr>
          <w:rFonts w:hint="eastAsia" w:ascii="仿宋" w:hAnsi="仿宋" w:eastAsia="仿宋" w:cs="仿宋"/>
          <w:color w:val="FF0000"/>
          <w:sz w:val="32"/>
          <w:szCs w:val="32"/>
          <w:highlight w:val="none"/>
        </w:rPr>
      </w:pPr>
      <w:r>
        <w:rPr>
          <w:rFonts w:hint="eastAsia"/>
          <w:color w:val="auto"/>
          <w:highlight w:val="none"/>
        </w:rPr>
        <w:t>▲1、投标人应于投标文件中详尽罗列所投设备开展检测项目所需的全部试剂、耗材，且试剂包装应涵盖大、中、小等各类规格，以契合医院多样化的需求。至少应明确所需配套耗材或试剂的名称、生产企业、规格、型号、产品编码、所需数量、单价、是否专机专用、注册证号、国家医疗保障信息平台药品和医用耗材招采管理子系统（简称新招采子系统）产品 ID 及截图（不作医疗器械管理的除外）等信息，以完成响应。若专机专用的试剂耗材存在原厂原装产品，投标人必须作出提供与设备品牌一致的原厂原装试剂耗材的承诺；若不存在原厂原装产品，则应承诺提供与所投设备相适配的试剂耗材。所列举的配套试剂、耗材须为国家医疗保障信息平台药品和医用耗材招采管理子系统（简称新招采子系统）目录内的产品（不作医疗器械管理的除外），并且需提供加盖制造商公章的承诺函。</w:t>
      </w:r>
    </w:p>
    <w:p w14:paraId="27DF8A86">
      <w:pPr>
        <w:adjustRightInd w:val="0"/>
        <w:snapToGrid w:val="0"/>
        <w:spacing w:line="360" w:lineRule="auto"/>
        <w:ind w:left="0" w:leftChars="0" w:firstLine="654"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2、每项检测项目所需试剂、耗材(包含仪器配套试剂、所有耗材、第三方质控品等一切消耗)成本加总后（按每人份进行核算），分别不高于梅州地区对应检测项目收费标准的不同比例：肌钙蛋白≤19</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BNP≤19</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lang w:val="en-US" w:eastAsia="zh-CN"/>
        </w:rPr>
        <w:t>氨基末端钠尿肽前体</w:t>
      </w:r>
      <w:r>
        <w:rPr>
          <w:rFonts w:hint="eastAsia" w:ascii="仿宋" w:hAnsi="仿宋" w:eastAsia="仿宋" w:cs="仿宋"/>
          <w:color w:val="auto"/>
          <w:sz w:val="32"/>
          <w:szCs w:val="32"/>
          <w:highlight w:val="none"/>
          <w:lang w:val="en-US" w:eastAsia="zh-CN"/>
        </w:rPr>
        <w:t>≤19%</w:t>
      </w:r>
      <w:r>
        <w:rPr>
          <w:rFonts w:hint="eastAsia" w:ascii="仿宋" w:hAnsi="仿宋" w:eastAsia="仿宋" w:cs="仿宋"/>
          <w:b w:val="0"/>
          <w:bCs w:val="0"/>
          <w:color w:val="auto"/>
          <w:sz w:val="32"/>
          <w:szCs w:val="32"/>
          <w:lang w:val="en-US" w:eastAsia="zh-CN"/>
        </w:rPr>
        <w:t>、D-二聚体</w:t>
      </w:r>
      <w:r>
        <w:rPr>
          <w:rFonts w:hint="eastAsia" w:ascii="仿宋" w:hAnsi="仿宋" w:eastAsia="仿宋" w:cs="仿宋"/>
          <w:color w:val="auto"/>
          <w:sz w:val="32"/>
          <w:szCs w:val="32"/>
          <w:highlight w:val="none"/>
          <w:lang w:val="en-US" w:eastAsia="zh-CN"/>
        </w:rPr>
        <w:t>≤15%</w:t>
      </w:r>
      <w:r>
        <w:rPr>
          <w:rFonts w:hint="eastAsia" w:ascii="仿宋" w:hAnsi="仿宋" w:eastAsia="仿宋" w:cs="仿宋"/>
          <w:b w:val="0"/>
          <w:bCs w:val="0"/>
          <w:color w:val="auto"/>
          <w:sz w:val="32"/>
          <w:szCs w:val="32"/>
          <w:highlight w:val="none"/>
          <w:lang w:val="en-US" w:eastAsia="zh-CN"/>
        </w:rPr>
        <w:t>。</w:t>
      </w:r>
    </w:p>
    <w:p w14:paraId="2F04EBA8">
      <w:pPr>
        <w:adjustRightInd w:val="0"/>
        <w:snapToGrid w:val="0"/>
        <w:spacing w:line="360" w:lineRule="auto"/>
        <w:rPr>
          <w:rFonts w:hint="eastAsia"/>
          <w:b/>
          <w:bCs/>
          <w:color w:val="auto"/>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color w:val="auto"/>
          <w:highlight w:val="none"/>
          <w:lang w:val="en-US" w:eastAsia="zh-CN"/>
        </w:rPr>
        <w:t>3所有检测项目所需的配套耗材、试剂应分别单独报价，所报单价不得高于以下价格。投标人需承诺所有单价不高于全国各省、市交易平台公布或交易的价格；承诺在设备使用期内，若采购人需要采购专机专用配套试剂、耗材，中标人应确保产品及时供应，且所供应的价格不得高于此次承诺单价。如遇国家政策导致试剂价格下调，应同步下调价格，且所承诺价格均可在国家医疗保障信息平台药品和医用耗材招采管理子系统（简称新招采子系统）或政府主管部门规定的其他平台进行交易（不作医疗器械管理的除外）。同时，不得限制医院对耗材规格、型号的选择，也不得规定每月、每季度、每年的采购数量。在设备使用期内，若对应检验收费价格下调，则所需的试剂耗材需进行等比例下调。在此期间，如生产厂家对配套专机专用耗材进行升级或更换规格型号，升级或更换后的产品供应价格应不高于此次投标承诺价格或产品升级前所供应价格</w:t>
      </w:r>
      <w:r>
        <w:rPr>
          <w:rFonts w:hint="eastAsia"/>
          <w:strike w:val="0"/>
          <w:color w:val="auto"/>
          <w:highlight w:val="none"/>
          <w:lang w:val="en-US" w:eastAsia="zh-CN"/>
        </w:rPr>
        <w:t>，调整后的价格必须</w:t>
      </w:r>
      <w:r>
        <w:rPr>
          <w:rFonts w:hint="eastAsia"/>
          <w:color w:val="auto"/>
          <w:highlight w:val="none"/>
          <w:lang w:val="en-US" w:eastAsia="zh-CN"/>
        </w:rPr>
        <w:t>能通过国家医疗保障信息平台药品与医用耗材招采管理子系统（简称新招采子系统）或政府主管部门规定的其他交易平台进行交易（不作医疗器械管理的除外）。</w:t>
      </w:r>
      <w:r>
        <w:rPr>
          <w:rFonts w:hint="eastAsia"/>
          <w:b/>
          <w:bCs/>
          <w:color w:val="auto"/>
          <w:highlight w:val="none"/>
          <w:lang w:val="en-US" w:eastAsia="zh-CN"/>
        </w:rPr>
        <w:t xml:space="preserve">上述所有承诺，投标人在投标时均需提供试剂、耗材生产厂家的承诺函并加盖公章，格式可自行拟定。 </w:t>
      </w:r>
    </w:p>
    <w:p w14:paraId="2528A729">
      <w:pPr>
        <w:adjustRightInd w:val="0"/>
        <w:snapToGrid w:val="0"/>
        <w:spacing w:line="360" w:lineRule="auto"/>
        <w:rPr>
          <w:rFonts w:hint="default"/>
          <w:b/>
          <w:bCs/>
          <w:color w:val="auto"/>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cs="仿宋_GB2312"/>
          <w:b w:val="0"/>
          <w:bCs w:val="0"/>
          <w:color w:val="auto"/>
          <w:kern w:val="2"/>
          <w:sz w:val="32"/>
          <w:szCs w:val="32"/>
          <w:lang w:val="en-US" w:eastAsia="zh-CN" w:bidi="ar-SA"/>
        </w:rPr>
        <w:t>4</w:t>
      </w:r>
      <w:r>
        <w:rPr>
          <w:rFonts w:hint="eastAsia"/>
          <w:b/>
          <w:bCs/>
          <w:color w:val="auto"/>
          <w:highlight w:val="none"/>
          <w:lang w:val="en-US" w:eastAsia="zh-CN"/>
        </w:rPr>
        <w:t xml:space="preserve">、在设备使用期间，所有试剂耗材实际检测数量如未达到投标时所承诺的理论检测数量。投标人负责按差额补齐相关试剂耗材。投标人在投标时，需提供其与试剂、耗材生产厂家共同出具的承诺函，并加盖公章，承诺函格式可自行拟定。 </w:t>
      </w:r>
    </w:p>
    <w:p w14:paraId="42A085D0">
      <w:pPr>
        <w:numPr>
          <w:ilvl w:val="0"/>
          <w:numId w:val="0"/>
        </w:numPr>
        <w:adjustRightInd w:val="0"/>
        <w:snapToGrid w:val="0"/>
        <w:spacing w:line="360" w:lineRule="auto"/>
        <w:ind w:firstLine="641" w:firstLineChars="0"/>
        <w:rPr>
          <w:rFonts w:hint="eastAsia"/>
          <w:color w:val="auto"/>
          <w:highlight w:val="none"/>
        </w:rPr>
      </w:pPr>
      <w:r>
        <w:rPr>
          <w:rFonts w:hint="eastAsia" w:cs="Times New Roman"/>
          <w:color w:val="auto"/>
          <w:kern w:val="2"/>
          <w:sz w:val="32"/>
          <w:szCs w:val="22"/>
          <w:lang w:val="en-US" w:eastAsia="zh-CN" w:bidi="ar-SA"/>
        </w:rPr>
        <w:t>5</w:t>
      </w:r>
      <w:r>
        <w:rPr>
          <w:rFonts w:hint="eastAsia" w:ascii="Times New Roman" w:hAnsi="Times New Roman" w:eastAsia="仿宋_GB2312" w:cs="Times New Roman"/>
          <w:color w:val="auto"/>
          <w:kern w:val="2"/>
          <w:sz w:val="32"/>
          <w:szCs w:val="22"/>
          <w:lang w:val="en-US" w:eastAsia="zh-CN" w:bidi="ar-SA"/>
        </w:rPr>
        <w:t>、</w:t>
      </w:r>
      <w:r>
        <w:rPr>
          <w:rFonts w:hint="eastAsia"/>
          <w:color w:val="auto"/>
          <w:highlight w:val="none"/>
          <w:lang w:eastAsia="zh-CN"/>
        </w:rPr>
        <w:t>需</w:t>
      </w:r>
      <w:r>
        <w:rPr>
          <w:rFonts w:hint="eastAsia"/>
          <w:color w:val="auto"/>
          <w:highlight w:val="none"/>
        </w:rPr>
        <w:t>提供</w:t>
      </w:r>
      <w:r>
        <w:rPr>
          <w:rFonts w:hint="eastAsia"/>
          <w:color w:val="auto"/>
          <w:highlight w:val="none"/>
          <w:lang w:eastAsia="zh-CN"/>
        </w:rPr>
        <w:t>投标时</w:t>
      </w:r>
      <w:r>
        <w:rPr>
          <w:rFonts w:hint="eastAsia"/>
          <w:color w:val="auto"/>
          <w:highlight w:val="none"/>
        </w:rPr>
        <w:t>各省市平台公布或交易的价格</w:t>
      </w:r>
      <w:r>
        <w:rPr>
          <w:rFonts w:hint="eastAsia"/>
          <w:color w:val="auto"/>
          <w:highlight w:val="none"/>
          <w:lang w:val="en-US" w:eastAsia="zh-CN"/>
        </w:rPr>
        <w:t>(不少于3个平台，其中至少需含浙江、江苏、京津冀平台中的一个）及</w:t>
      </w:r>
      <w:r>
        <w:rPr>
          <w:rFonts w:hint="eastAsia"/>
          <w:color w:val="auto"/>
          <w:highlight w:val="none"/>
        </w:rPr>
        <w:t>近半年</w:t>
      </w:r>
      <w:r>
        <w:rPr>
          <w:rFonts w:hint="eastAsia"/>
          <w:color w:val="auto"/>
          <w:highlight w:val="none"/>
          <w:lang w:eastAsia="zh-CN"/>
        </w:rPr>
        <w:t>其他</w:t>
      </w:r>
      <w:r>
        <w:rPr>
          <w:rFonts w:hint="eastAsia"/>
          <w:color w:val="auto"/>
          <w:highlight w:val="none"/>
          <w:lang w:val="en-US" w:eastAsia="zh-CN"/>
        </w:rPr>
        <w:t>3家综合性三级甲等医院</w:t>
      </w:r>
      <w:r>
        <w:rPr>
          <w:rFonts w:hint="eastAsia"/>
          <w:color w:val="auto"/>
          <w:highlight w:val="none"/>
        </w:rPr>
        <w:t>的采购记录及发票复印件等参考资料。</w:t>
      </w:r>
    </w:p>
    <w:p w14:paraId="311256AA">
      <w:pPr>
        <w:keepNext w:val="0"/>
        <w:keepLines w:val="0"/>
        <w:pageBreakBefore w:val="0"/>
        <w:widowControl w:val="0"/>
        <w:numPr>
          <w:ilvl w:val="0"/>
          <w:numId w:val="0"/>
        </w:numPr>
        <w:kinsoku/>
        <w:wordWrap/>
        <w:overflowPunct/>
        <w:topLinePunct w:val="0"/>
        <w:autoSpaceDE/>
        <w:autoSpaceDN/>
        <w:bidi w:val="0"/>
        <w:adjustRightInd/>
        <w:snapToGrid/>
        <w:ind w:firstLine="654" w:firstLineChars="200"/>
        <w:jc w:val="left"/>
        <w:textAlignment w:val="auto"/>
        <w:rPr>
          <w:rFonts w:hint="eastAsia" w:ascii="仿宋" w:hAnsi="仿宋" w:eastAsia="仿宋" w:cs="仿宋"/>
          <w:b/>
          <w:bCs/>
          <w:color w:val="auto"/>
          <w:sz w:val="32"/>
          <w:szCs w:val="32"/>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w:t>
      </w:r>
      <w:r>
        <w:rPr>
          <w:rFonts w:hint="eastAsia" w:ascii="仿宋" w:hAnsi="仿宋" w:eastAsia="仿宋" w:cs="仿宋"/>
          <w:b w:val="0"/>
          <w:bCs w:val="0"/>
          <w:color w:val="auto"/>
          <w:kern w:val="2"/>
          <w:sz w:val="32"/>
          <w:szCs w:val="32"/>
          <w:lang w:val="en-US" w:eastAsia="zh-CN" w:bidi="ar-SA"/>
        </w:rPr>
        <w:t>6</w:t>
      </w:r>
      <w:r>
        <w:rPr>
          <w:rFonts w:hint="eastAsia" w:ascii="仿宋" w:hAnsi="仿宋" w:eastAsia="仿宋" w:cs="仿宋"/>
          <w:color w:val="auto"/>
          <w:kern w:val="2"/>
          <w:sz w:val="32"/>
          <w:szCs w:val="32"/>
          <w:lang w:val="en-US" w:eastAsia="zh-CN" w:bidi="ar-SA"/>
        </w:rPr>
        <w:t>、</w:t>
      </w:r>
      <w:r>
        <w:rPr>
          <w:rFonts w:hint="eastAsia" w:ascii="仿宋" w:hAnsi="仿宋" w:eastAsia="仿宋" w:cs="仿宋"/>
          <w:b w:val="0"/>
          <w:bCs w:val="0"/>
          <w:color w:val="auto"/>
          <w:kern w:val="2"/>
          <w:sz w:val="32"/>
          <w:szCs w:val="32"/>
          <w:highlight w:val="none"/>
          <w:lang w:val="en-US" w:eastAsia="zh-CN" w:bidi="ar-SA"/>
        </w:rPr>
        <w:t>仪器配套试剂方法学需符合广东省公立医疗机构基本医疗服务价格条目。</w:t>
      </w:r>
      <w:r>
        <w:rPr>
          <w:rFonts w:hint="eastAsia" w:ascii="仿宋" w:hAnsi="仿宋" w:eastAsia="仿宋" w:cs="仿宋"/>
          <w:b/>
          <w:bCs/>
          <w:color w:val="auto"/>
          <w:kern w:val="2"/>
          <w:sz w:val="32"/>
          <w:szCs w:val="32"/>
          <w:highlight w:val="none"/>
          <w:lang w:val="en-US" w:eastAsia="zh-CN" w:bidi="ar-SA"/>
        </w:rPr>
        <w:t>（提供承诺函并加盖公章，格式可自行拟定）</w:t>
      </w:r>
    </w:p>
    <w:p w14:paraId="1867F495">
      <w:pPr>
        <w:numPr>
          <w:ilvl w:val="0"/>
          <w:numId w:val="0"/>
        </w:numPr>
        <w:adjustRightInd w:val="0"/>
        <w:snapToGrid w:val="0"/>
        <w:spacing w:line="360" w:lineRule="auto"/>
        <w:ind w:firstLine="641" w:firstLineChars="0"/>
        <w:rPr>
          <w:rFonts w:hint="eastAsia"/>
          <w:color w:val="auto"/>
          <w:highlight w:val="none"/>
          <w:lang w:eastAsia="zh-CN"/>
        </w:rPr>
      </w:pPr>
    </w:p>
    <w:p w14:paraId="1B0A3409">
      <w:pPr>
        <w:pStyle w:val="3"/>
        <w:ind w:left="0" w:leftChars="0" w:firstLine="0" w:firstLineChars="0"/>
        <w:rPr>
          <w:rFonts w:hint="eastAsia" w:eastAsia="仿宋_GB2312"/>
          <w:color w:val="auto"/>
          <w:lang w:val="en-US" w:eastAsia="zh-CN"/>
        </w:rPr>
      </w:pPr>
      <w:r>
        <w:rPr>
          <w:rFonts w:hint="eastAsia"/>
          <w:color w:val="auto"/>
          <w:lang w:val="en-US" w:eastAsia="zh-CN"/>
        </w:rPr>
        <w:t>（四）配置清单（单台）</w:t>
      </w:r>
    </w:p>
    <w:p w14:paraId="3025EC2F">
      <w:pPr>
        <w:ind w:left="0" w:leftChars="0" w:firstLine="0" w:firstLineChars="0"/>
        <w:rPr>
          <w:rFonts w:hint="default" w:cs="Times New Roman"/>
          <w:b w:val="0"/>
          <w:bCs w:val="0"/>
          <w:color w:val="auto"/>
          <w:kern w:val="2"/>
          <w:sz w:val="32"/>
          <w:szCs w:val="2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eastAsia" w:cs="Times New Roman"/>
          <w:b w:val="0"/>
          <w:bCs w:val="0"/>
          <w:color w:val="auto"/>
          <w:kern w:val="2"/>
          <w:sz w:val="32"/>
          <w:szCs w:val="22"/>
          <w:lang w:val="en-US" w:eastAsia="zh-CN" w:bidi="ar-SA"/>
        </w:rPr>
        <w:t>1、主机一台（套）。</w:t>
      </w:r>
    </w:p>
    <w:p w14:paraId="43F6EEF6">
      <w:pPr>
        <w:ind w:left="0" w:leftChars="0" w:firstLine="0" w:firstLineChars="0"/>
        <w:rPr>
          <w:rFonts w:hint="eastAsia" w:cs="Times New Roman"/>
          <w:b w:val="0"/>
          <w:bCs w:val="0"/>
          <w:color w:val="auto"/>
          <w:kern w:val="2"/>
          <w:sz w:val="32"/>
          <w:szCs w:val="22"/>
          <w:lang w:val="en-US" w:eastAsia="zh-CN" w:bidi="ar-SA"/>
        </w:rPr>
      </w:pPr>
    </w:p>
    <w:p w14:paraId="547FFC4B">
      <w:pPr>
        <w:pStyle w:val="3"/>
        <w:ind w:left="0" w:leftChars="0" w:firstLine="0" w:firstLineChars="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（说明：打</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条款为实质性条款，若有任何一条负偏离或不满足则导致投标无效。打</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条款为重要技术参数，若有部分</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条款未响应或不满足，将导致其响应性评审加重扣分，但不作为无效投标条款）</w:t>
      </w:r>
    </w:p>
    <w:p w14:paraId="41032FD3">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1633C71D">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6893CD16">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34DCA9B0">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18DC9D0E">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6FEFE50A">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4F98C25E">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7A973E17">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2B9C16A5">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31C2F907">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0A38FA7E">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47D12FE1">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7662D9C7">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16AF803C">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3A696C6F">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5E9D63D3">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7CC3E19E">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039E161D">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4819C80E">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64D48254">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4A4CFCF4">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1AAF2E61">
      <w:pPr>
        <w:numPr>
          <w:ilvl w:val="0"/>
          <w:numId w:val="0"/>
        </w:numPr>
        <w:snapToGrid w:val="0"/>
        <w:spacing w:line="276" w:lineRule="auto"/>
        <w:rPr>
          <w:rFonts w:hint="eastAsia" w:ascii="仿宋" w:hAnsi="仿宋" w:eastAsia="仿宋"/>
          <w:sz w:val="28"/>
          <w:szCs w:val="28"/>
        </w:rPr>
      </w:pPr>
      <w:r>
        <w:rPr>
          <w:rFonts w:hint="eastAsia" w:ascii="仿宋" w:hAnsi="仿宋" w:eastAsia="仿宋"/>
          <w:sz w:val="28"/>
          <w:szCs w:val="28"/>
        </w:rPr>
        <w:t>评审因素及对应的分值、权重：</w:t>
      </w:r>
    </w:p>
    <w:tbl>
      <w:tblPr>
        <w:tblStyle w:val="11"/>
        <w:tblW w:w="92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3"/>
        <w:gridCol w:w="2376"/>
        <w:gridCol w:w="5990"/>
      </w:tblGrid>
      <w:tr w14:paraId="42DDB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0" w:hRule="atLeast"/>
        </w:trPr>
        <w:tc>
          <w:tcPr>
            <w:tcW w:w="853" w:type="dxa"/>
            <w:noWrap w:val="0"/>
            <w:vAlign w:val="top"/>
          </w:tcPr>
          <w:p w14:paraId="31E14664">
            <w:pPr>
              <w:ind w:left="0" w:leftChars="0" w:firstLine="0" w:firstLineChars="0"/>
              <w:jc w:val="both"/>
              <w:rPr>
                <w:sz w:val="28"/>
                <w:szCs w:val="28"/>
              </w:rPr>
            </w:pPr>
            <w:r>
              <w:rPr>
                <w:sz w:val="28"/>
                <w:szCs w:val="28"/>
              </w:rPr>
              <w:t>评审因素</w:t>
            </w:r>
          </w:p>
        </w:tc>
        <w:tc>
          <w:tcPr>
            <w:tcW w:w="8366" w:type="dxa"/>
            <w:gridSpan w:val="2"/>
            <w:noWrap w:val="0"/>
            <w:vAlign w:val="top"/>
          </w:tcPr>
          <w:p w14:paraId="57103718">
            <w:pPr>
              <w:jc w:val="center"/>
              <w:rPr>
                <w:sz w:val="28"/>
                <w:szCs w:val="28"/>
              </w:rPr>
            </w:pPr>
            <w:r>
              <w:rPr>
                <w:sz w:val="28"/>
                <w:szCs w:val="28"/>
              </w:rPr>
              <w:t>评审标准</w:t>
            </w:r>
          </w:p>
        </w:tc>
      </w:tr>
      <w:tr w14:paraId="0D551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3574766D">
            <w:pPr>
              <w:ind w:left="0" w:leftChars="0" w:firstLine="0" w:firstLineChars="0"/>
              <w:jc w:val="both"/>
              <w:rPr>
                <w:sz w:val="28"/>
                <w:szCs w:val="28"/>
              </w:rPr>
            </w:pPr>
            <w:r>
              <w:rPr>
                <w:sz w:val="28"/>
                <w:szCs w:val="28"/>
              </w:rPr>
              <w:t>分值构成</w:t>
            </w:r>
          </w:p>
        </w:tc>
        <w:tc>
          <w:tcPr>
            <w:tcW w:w="8366" w:type="dxa"/>
            <w:gridSpan w:val="2"/>
            <w:noWrap w:val="0"/>
            <w:vAlign w:val="top"/>
          </w:tcPr>
          <w:p w14:paraId="100DD558">
            <w:pPr>
              <w:ind w:left="0" w:leftChars="0" w:firstLine="0" w:firstLineChars="0"/>
              <w:rPr>
                <w:sz w:val="28"/>
                <w:szCs w:val="28"/>
              </w:rPr>
            </w:pPr>
            <w:r>
              <w:rPr>
                <w:rFonts w:hint="eastAsia"/>
                <w:sz w:val="28"/>
                <w:szCs w:val="28"/>
                <w:lang w:val="en-US" w:eastAsia="zh-CN"/>
              </w:rPr>
              <w:t>商务</w:t>
            </w:r>
            <w:r>
              <w:rPr>
                <w:sz w:val="28"/>
                <w:szCs w:val="28"/>
              </w:rPr>
              <w:t>部分</w:t>
            </w:r>
            <w:r>
              <w:rPr>
                <w:rFonts w:hint="eastAsia"/>
                <w:sz w:val="28"/>
                <w:szCs w:val="28"/>
                <w:lang w:val="en-US" w:eastAsia="zh-CN"/>
              </w:rPr>
              <w:t>4.0</w:t>
            </w:r>
            <w:r>
              <w:rPr>
                <w:sz w:val="28"/>
                <w:szCs w:val="28"/>
              </w:rPr>
              <w:t>分</w:t>
            </w:r>
          </w:p>
          <w:p w14:paraId="209263A8">
            <w:pPr>
              <w:ind w:left="0" w:leftChars="0" w:firstLine="0" w:firstLineChars="0"/>
              <w:rPr>
                <w:sz w:val="28"/>
                <w:szCs w:val="28"/>
              </w:rPr>
            </w:pPr>
            <w:r>
              <w:rPr>
                <w:rFonts w:hint="eastAsia"/>
                <w:sz w:val="28"/>
                <w:szCs w:val="28"/>
                <w:lang w:val="en-US" w:eastAsia="zh-CN"/>
              </w:rPr>
              <w:t>技术</w:t>
            </w:r>
            <w:r>
              <w:rPr>
                <w:sz w:val="28"/>
                <w:szCs w:val="28"/>
              </w:rPr>
              <w:t>部分</w:t>
            </w:r>
            <w:r>
              <w:rPr>
                <w:rFonts w:hint="eastAsia"/>
                <w:sz w:val="28"/>
                <w:szCs w:val="28"/>
                <w:lang w:val="en-US" w:eastAsia="zh-CN"/>
              </w:rPr>
              <w:t>66.0</w:t>
            </w:r>
            <w:r>
              <w:rPr>
                <w:sz w:val="28"/>
                <w:szCs w:val="28"/>
              </w:rPr>
              <w:t>分</w:t>
            </w:r>
          </w:p>
          <w:p w14:paraId="1B0D6B20">
            <w:pPr>
              <w:ind w:left="0" w:leftChars="0" w:firstLine="0" w:firstLineChars="0"/>
              <w:rPr>
                <w:sz w:val="28"/>
                <w:szCs w:val="28"/>
              </w:rPr>
            </w:pPr>
            <w:r>
              <w:rPr>
                <w:sz w:val="28"/>
                <w:szCs w:val="28"/>
              </w:rPr>
              <w:t>报价得分</w:t>
            </w:r>
            <w:r>
              <w:rPr>
                <w:rFonts w:hint="eastAsia"/>
                <w:sz w:val="28"/>
                <w:szCs w:val="28"/>
                <w:lang w:val="en-US" w:eastAsia="zh-CN"/>
              </w:rPr>
              <w:t>3</w:t>
            </w:r>
            <w:r>
              <w:rPr>
                <w:sz w:val="28"/>
                <w:szCs w:val="28"/>
              </w:rPr>
              <w:t>0.0分</w:t>
            </w:r>
          </w:p>
        </w:tc>
      </w:tr>
      <w:tr w14:paraId="6CB2A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13831E89">
            <w:pPr>
              <w:ind w:left="0" w:leftChars="0" w:firstLine="0" w:firstLineChars="0"/>
              <w:jc w:val="both"/>
              <w:rPr>
                <w:sz w:val="28"/>
                <w:szCs w:val="28"/>
              </w:rPr>
            </w:pPr>
            <w:r>
              <w:rPr>
                <w:sz w:val="28"/>
                <w:szCs w:val="28"/>
              </w:rPr>
              <w:t>技术部分</w:t>
            </w:r>
          </w:p>
        </w:tc>
        <w:tc>
          <w:tcPr>
            <w:tcW w:w="2376" w:type="dxa"/>
            <w:noWrap w:val="0"/>
            <w:vAlign w:val="top"/>
          </w:tcPr>
          <w:p w14:paraId="1A7484D8">
            <w:pPr>
              <w:ind w:left="0" w:leftChars="0" w:firstLine="0" w:firstLineChars="0"/>
              <w:jc w:val="left"/>
              <w:rPr>
                <w:color w:val="auto"/>
                <w:sz w:val="28"/>
                <w:szCs w:val="28"/>
              </w:rPr>
            </w:pPr>
            <w:r>
              <w:rPr>
                <w:color w:val="auto"/>
                <w:sz w:val="28"/>
                <w:szCs w:val="28"/>
              </w:rPr>
              <w:t>重要技术条款响应  (</w:t>
            </w:r>
            <w:r>
              <w:rPr>
                <w:rFonts w:hint="eastAsia"/>
                <w:color w:val="auto"/>
                <w:sz w:val="28"/>
                <w:szCs w:val="28"/>
                <w:lang w:val="en-US" w:eastAsia="zh-CN"/>
              </w:rPr>
              <w:t>42</w:t>
            </w:r>
            <w:r>
              <w:rPr>
                <w:color w:val="auto"/>
                <w:sz w:val="28"/>
                <w:szCs w:val="28"/>
              </w:rPr>
              <w:t>分)</w:t>
            </w:r>
          </w:p>
        </w:tc>
        <w:tc>
          <w:tcPr>
            <w:tcW w:w="5990" w:type="dxa"/>
            <w:noWrap w:val="0"/>
            <w:vAlign w:val="top"/>
          </w:tcPr>
          <w:p w14:paraId="1301AEFD">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color w:val="auto"/>
                <w:sz w:val="28"/>
                <w:szCs w:val="28"/>
              </w:rPr>
            </w:pPr>
            <w:r>
              <w:rPr>
                <w:color w:val="auto"/>
                <w:sz w:val="28"/>
                <w:szCs w:val="28"/>
              </w:rPr>
              <w:t>根据各投标人对招标文件技术要求中“▲”条款</w:t>
            </w:r>
            <w:r>
              <w:rPr>
                <w:rFonts w:hint="eastAsia"/>
                <w:color w:val="auto"/>
                <w:sz w:val="28"/>
                <w:szCs w:val="28"/>
                <w:lang w:eastAsia="zh-CN"/>
              </w:rPr>
              <w:t>（共</w:t>
            </w:r>
            <w:r>
              <w:rPr>
                <w:rFonts w:hint="eastAsia"/>
                <w:color w:val="auto"/>
                <w:sz w:val="28"/>
                <w:szCs w:val="28"/>
                <w:lang w:val="en-US" w:eastAsia="zh-CN"/>
              </w:rPr>
              <w:t>7条</w:t>
            </w:r>
            <w:r>
              <w:rPr>
                <w:rFonts w:hint="eastAsia"/>
                <w:color w:val="auto"/>
                <w:sz w:val="28"/>
                <w:szCs w:val="28"/>
                <w:lang w:eastAsia="zh-CN"/>
              </w:rPr>
              <w:t>）</w:t>
            </w:r>
            <w:r>
              <w:rPr>
                <w:color w:val="auto"/>
                <w:sz w:val="28"/>
                <w:szCs w:val="28"/>
              </w:rPr>
              <w:t>的响应程度进行评分：全部响应得</w:t>
            </w:r>
            <w:r>
              <w:rPr>
                <w:rFonts w:hint="eastAsia"/>
                <w:color w:val="auto"/>
                <w:sz w:val="28"/>
                <w:szCs w:val="28"/>
                <w:lang w:val="en-US" w:eastAsia="zh-CN"/>
              </w:rPr>
              <w:t>42</w:t>
            </w:r>
            <w:r>
              <w:rPr>
                <w:color w:val="auto"/>
                <w:sz w:val="28"/>
                <w:szCs w:val="28"/>
              </w:rPr>
              <w:t>分，每有一项不响应的扣</w:t>
            </w:r>
            <w:r>
              <w:rPr>
                <w:rFonts w:hint="eastAsia"/>
                <w:color w:val="auto"/>
                <w:sz w:val="28"/>
                <w:szCs w:val="28"/>
                <w:lang w:val="en-US" w:eastAsia="zh-CN"/>
              </w:rPr>
              <w:t>6</w:t>
            </w:r>
            <w:r>
              <w:rPr>
                <w:color w:val="auto"/>
                <w:sz w:val="28"/>
                <w:szCs w:val="28"/>
              </w:rPr>
              <w:t xml:space="preserve">分。 </w:t>
            </w:r>
          </w:p>
          <w:p w14:paraId="1AEACA94">
            <w:pPr>
              <w:jc w:val="left"/>
              <w:rPr>
                <w:color w:val="auto"/>
                <w:sz w:val="28"/>
                <w:szCs w:val="28"/>
              </w:rPr>
            </w:pPr>
            <w:r>
              <w:rPr>
                <w:color w:val="auto"/>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08810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0032F72E">
            <w:pPr>
              <w:jc w:val="center"/>
              <w:rPr>
                <w:sz w:val="28"/>
                <w:szCs w:val="28"/>
              </w:rPr>
            </w:pPr>
          </w:p>
        </w:tc>
        <w:tc>
          <w:tcPr>
            <w:tcW w:w="2376" w:type="dxa"/>
            <w:noWrap w:val="0"/>
            <w:vAlign w:val="top"/>
          </w:tcPr>
          <w:p w14:paraId="38D56312">
            <w:pPr>
              <w:ind w:left="0" w:leftChars="0" w:firstLine="0" w:firstLineChars="0"/>
              <w:jc w:val="left"/>
              <w:rPr>
                <w:color w:val="auto"/>
                <w:sz w:val="28"/>
                <w:szCs w:val="28"/>
              </w:rPr>
            </w:pPr>
            <w:r>
              <w:rPr>
                <w:color w:val="auto"/>
                <w:sz w:val="28"/>
                <w:szCs w:val="28"/>
              </w:rPr>
              <w:t>一般技术条款响应 (</w:t>
            </w:r>
            <w:r>
              <w:rPr>
                <w:rFonts w:hint="eastAsia"/>
                <w:color w:val="auto"/>
                <w:sz w:val="28"/>
                <w:szCs w:val="28"/>
                <w:lang w:val="en-US" w:eastAsia="zh-CN"/>
              </w:rPr>
              <w:t>24</w:t>
            </w:r>
            <w:r>
              <w:rPr>
                <w:color w:val="auto"/>
                <w:sz w:val="28"/>
                <w:szCs w:val="28"/>
              </w:rPr>
              <w:t>分)</w:t>
            </w:r>
          </w:p>
        </w:tc>
        <w:tc>
          <w:tcPr>
            <w:tcW w:w="5990" w:type="dxa"/>
            <w:noWrap w:val="0"/>
            <w:vAlign w:val="top"/>
          </w:tcPr>
          <w:p w14:paraId="29FDD5EF">
            <w:pPr>
              <w:jc w:val="left"/>
              <w:rPr>
                <w:rFonts w:hint="eastAsia" w:eastAsia="仿宋_GB2312"/>
                <w:color w:val="auto"/>
                <w:sz w:val="28"/>
                <w:szCs w:val="28"/>
                <w:lang w:eastAsia="zh-CN"/>
              </w:rPr>
            </w:pPr>
            <w:r>
              <w:rPr>
                <w:color w:val="auto"/>
                <w:sz w:val="28"/>
                <w:szCs w:val="28"/>
              </w:rPr>
              <w:t>所投产品完全满足或优于用户需求书中不带▲号的一般技术参数要求的</w:t>
            </w:r>
            <w:r>
              <w:rPr>
                <w:rFonts w:hint="eastAsia"/>
                <w:color w:val="auto"/>
                <w:sz w:val="28"/>
                <w:szCs w:val="28"/>
                <w:lang w:eastAsia="zh-CN"/>
              </w:rPr>
              <w:t>（</w:t>
            </w:r>
            <w:r>
              <w:rPr>
                <w:rFonts w:hint="eastAsia"/>
                <w:color w:val="auto"/>
                <w:sz w:val="28"/>
                <w:szCs w:val="28"/>
                <w:lang w:val="en-US" w:eastAsia="zh-CN"/>
              </w:rPr>
              <w:t>共8条</w:t>
            </w:r>
            <w:r>
              <w:rPr>
                <w:rFonts w:hint="eastAsia"/>
                <w:color w:val="auto"/>
                <w:sz w:val="28"/>
                <w:szCs w:val="28"/>
                <w:lang w:eastAsia="zh-CN"/>
              </w:rPr>
              <w:t>）</w:t>
            </w:r>
            <w:r>
              <w:rPr>
                <w:color w:val="auto"/>
                <w:sz w:val="28"/>
                <w:szCs w:val="28"/>
              </w:rPr>
              <w:t>，得</w:t>
            </w:r>
            <w:r>
              <w:rPr>
                <w:rFonts w:hint="eastAsia"/>
                <w:color w:val="auto"/>
                <w:sz w:val="28"/>
                <w:szCs w:val="28"/>
                <w:lang w:val="en-US" w:eastAsia="zh-CN"/>
              </w:rPr>
              <w:t>24</w:t>
            </w:r>
            <w:r>
              <w:rPr>
                <w:color w:val="auto"/>
                <w:sz w:val="28"/>
                <w:szCs w:val="28"/>
              </w:rPr>
              <w:t>分。</w:t>
            </w:r>
            <w:r>
              <w:rPr>
                <w:rFonts w:hint="eastAsia"/>
                <w:color w:val="auto"/>
                <w:sz w:val="28"/>
                <w:szCs w:val="28"/>
                <w:lang w:val="en-US" w:eastAsia="zh-CN"/>
              </w:rPr>
              <w:t>每</w:t>
            </w:r>
            <w:r>
              <w:rPr>
                <w:color w:val="auto"/>
                <w:sz w:val="28"/>
                <w:szCs w:val="28"/>
              </w:rPr>
              <w:t>1项不带▲号的技术参数负偏离，</w:t>
            </w:r>
            <w:r>
              <w:rPr>
                <w:rFonts w:hint="eastAsia"/>
                <w:color w:val="auto"/>
                <w:sz w:val="28"/>
                <w:szCs w:val="28"/>
                <w:lang w:val="en-US" w:eastAsia="zh-CN"/>
              </w:rPr>
              <w:t>扣3</w:t>
            </w:r>
            <w:r>
              <w:rPr>
                <w:color w:val="auto"/>
                <w:sz w:val="28"/>
                <w:szCs w:val="28"/>
              </w:rPr>
              <w:t>分</w:t>
            </w:r>
            <w:r>
              <w:rPr>
                <w:rFonts w:hint="eastAsia"/>
                <w:color w:val="auto"/>
                <w:sz w:val="28"/>
                <w:szCs w:val="28"/>
                <w:highlight w:val="none"/>
                <w:lang w:eastAsia="zh-CN"/>
              </w:rPr>
              <w:t>。</w:t>
            </w:r>
          </w:p>
          <w:p w14:paraId="03930616">
            <w:pPr>
              <w:jc w:val="left"/>
              <w:rPr>
                <w:color w:val="auto"/>
              </w:rPr>
            </w:pPr>
            <w:r>
              <w:rPr>
                <w:color w:val="auto"/>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59E57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644DB3A3">
            <w:pPr>
              <w:ind w:left="0" w:leftChars="0" w:firstLine="0" w:firstLineChars="0"/>
              <w:jc w:val="both"/>
              <w:rPr>
                <w:sz w:val="28"/>
                <w:szCs w:val="28"/>
              </w:rPr>
            </w:pPr>
            <w:r>
              <w:rPr>
                <w:rFonts w:hint="eastAsia"/>
                <w:sz w:val="28"/>
                <w:szCs w:val="28"/>
                <w:lang w:val="en-US" w:eastAsia="zh-CN"/>
              </w:rPr>
              <w:t>商务</w:t>
            </w:r>
            <w:r>
              <w:rPr>
                <w:sz w:val="28"/>
                <w:szCs w:val="28"/>
              </w:rPr>
              <w:t>部分</w:t>
            </w:r>
          </w:p>
        </w:tc>
        <w:tc>
          <w:tcPr>
            <w:tcW w:w="2376" w:type="dxa"/>
            <w:noWrap w:val="0"/>
            <w:vAlign w:val="top"/>
          </w:tcPr>
          <w:p w14:paraId="59CA4CB1">
            <w:p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售后服务方案 (</w:t>
            </w:r>
            <w:r>
              <w:rPr>
                <w:rFonts w:hint="eastAsia"/>
                <w:sz w:val="28"/>
                <w:szCs w:val="28"/>
                <w:highlight w:val="none"/>
                <w:lang w:val="en-US" w:eastAsia="zh-CN"/>
              </w:rPr>
              <w:t>3</w:t>
            </w:r>
            <w:r>
              <w:rPr>
                <w:sz w:val="28"/>
                <w:szCs w:val="28"/>
                <w:highlight w:val="none"/>
              </w:rPr>
              <w:t>.0</w:t>
            </w:r>
            <w:r>
              <w:rPr>
                <w:sz w:val="28"/>
                <w:szCs w:val="28"/>
              </w:rPr>
              <w:t>分)，（等次分值选择：0;</w:t>
            </w:r>
            <w:r>
              <w:rPr>
                <w:rFonts w:hint="eastAsia"/>
                <w:sz w:val="28"/>
                <w:szCs w:val="28"/>
                <w:lang w:val="en-US" w:eastAsia="zh-CN"/>
              </w:rPr>
              <w:t>1</w:t>
            </w:r>
            <w:r>
              <w:rPr>
                <w:sz w:val="28"/>
                <w:szCs w:val="28"/>
              </w:rPr>
              <w:t>;</w:t>
            </w:r>
            <w:r>
              <w:rPr>
                <w:rFonts w:hint="eastAsia"/>
                <w:sz w:val="28"/>
                <w:szCs w:val="28"/>
                <w:lang w:val="en-US" w:eastAsia="zh-CN"/>
              </w:rPr>
              <w:t>2</w:t>
            </w:r>
            <w:r>
              <w:rPr>
                <w:sz w:val="28"/>
                <w:szCs w:val="28"/>
              </w:rPr>
              <w:t>;</w:t>
            </w:r>
            <w:r>
              <w:rPr>
                <w:rFonts w:hint="eastAsia"/>
                <w:sz w:val="28"/>
                <w:szCs w:val="28"/>
                <w:lang w:val="en-US" w:eastAsia="zh-CN"/>
              </w:rPr>
              <w:t>3</w:t>
            </w:r>
            <w:r>
              <w:rPr>
                <w:sz w:val="28"/>
                <w:szCs w:val="28"/>
              </w:rPr>
              <w:t>）</w:t>
            </w:r>
          </w:p>
        </w:tc>
        <w:tc>
          <w:tcPr>
            <w:tcW w:w="5990" w:type="dxa"/>
            <w:noWrap w:val="0"/>
            <w:vAlign w:val="top"/>
          </w:tcPr>
          <w:p w14:paraId="3B2D6E77">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sz w:val="28"/>
                <w:szCs w:val="28"/>
              </w:rPr>
            </w:pPr>
            <w:r>
              <w:rPr>
                <w:sz w:val="28"/>
                <w:szCs w:val="28"/>
              </w:rPr>
              <w:t xml:space="preserve">根据投标人针对本项目所提供的售后服务方案，方案内容包括但不限于售后服务人员（专人跟进、服务沟通等）的安排、售后服务计划安排、响应时间的及时性、提供备品备件服务等内容进行评审： </w:t>
            </w:r>
          </w:p>
          <w:p w14:paraId="23176DE7">
            <w:pPr>
              <w:numPr>
                <w:ilvl w:val="0"/>
                <w:numId w:val="0"/>
              </w:numPr>
              <w:jc w:val="left"/>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投标人所提供的质保期内和质保期后售后服务方案内容详细，有完整合理的部署规划，有安排专人负责响应采购人的维修要求及服务过程中的沟通，有专业的售后服务人员，对需维修的设备有完整可行操作的维修处理方法，对日常维修和应急情况响应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4</w:t>
            </w:r>
            <w:r>
              <w:rPr>
                <w:sz w:val="28"/>
                <w:szCs w:val="28"/>
              </w:rPr>
              <w:t>小时，</w:t>
            </w:r>
            <w:r>
              <w:rPr>
                <w:rFonts w:hint="eastAsia"/>
                <w:sz w:val="28"/>
                <w:szCs w:val="28"/>
                <w:lang w:val="en-US" w:eastAsia="zh-CN"/>
              </w:rPr>
              <w:t>优于或</w:t>
            </w:r>
            <w:r>
              <w:rPr>
                <w:sz w:val="28"/>
                <w:szCs w:val="28"/>
              </w:rPr>
              <w:t>完全满足项目要求的得</w:t>
            </w:r>
            <w:r>
              <w:rPr>
                <w:rFonts w:hint="eastAsia"/>
                <w:sz w:val="28"/>
                <w:szCs w:val="28"/>
                <w:lang w:val="en-US" w:eastAsia="zh-CN"/>
              </w:rPr>
              <w:t>3</w:t>
            </w:r>
            <w:r>
              <w:rPr>
                <w:sz w:val="28"/>
                <w:szCs w:val="28"/>
              </w:rPr>
              <w:t>分；</w:t>
            </w:r>
          </w:p>
          <w:p w14:paraId="08F254A4">
            <w:pPr>
              <w:numPr>
                <w:ilvl w:val="0"/>
                <w:numId w:val="0"/>
              </w:numPr>
              <w:ind w:leftChars="0"/>
              <w:jc w:val="left"/>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投标人所提供的质保期内售后服务方案内容完整，有基本的部署规划，有安排专人负责响应采购人的维修要求及服务过程中的沟通，有专业的售后服务人员，对需维修的设备有基础保底操作的维修处理方法，对日常维修和应急情况响应不够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8</w:t>
            </w:r>
            <w:r>
              <w:rPr>
                <w:sz w:val="28"/>
                <w:szCs w:val="28"/>
              </w:rPr>
              <w:t>小时，</w:t>
            </w:r>
            <w:r>
              <w:rPr>
                <w:rFonts w:hint="eastAsia"/>
                <w:sz w:val="28"/>
                <w:szCs w:val="28"/>
                <w:lang w:eastAsia="zh-CN"/>
              </w:rPr>
              <w:t>基本</w:t>
            </w:r>
            <w:r>
              <w:rPr>
                <w:sz w:val="28"/>
                <w:szCs w:val="28"/>
              </w:rPr>
              <w:t>满足项目要求的得</w:t>
            </w:r>
            <w:r>
              <w:rPr>
                <w:rFonts w:hint="eastAsia"/>
                <w:sz w:val="28"/>
                <w:szCs w:val="28"/>
                <w:lang w:val="en-US" w:eastAsia="zh-CN"/>
              </w:rPr>
              <w:t>2</w:t>
            </w:r>
            <w:r>
              <w:rPr>
                <w:sz w:val="28"/>
                <w:szCs w:val="28"/>
              </w:rPr>
              <w:t>分；</w:t>
            </w:r>
          </w:p>
          <w:p w14:paraId="6CFBFE7D">
            <w:pPr>
              <w:numPr>
                <w:ilvl w:val="0"/>
                <w:numId w:val="0"/>
              </w:numPr>
              <w:ind w:leftChars="0"/>
              <w:jc w:val="left"/>
              <w:rPr>
                <w:sz w:val="28"/>
                <w:szCs w:val="28"/>
              </w:rPr>
            </w:pPr>
            <w:r>
              <w:rPr>
                <w:sz w:val="28"/>
                <w:szCs w:val="28"/>
              </w:rPr>
              <w:t>（3）投标人只提供了简单的售后服务方案，维修服务安排无法满足项目要求，</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24</w:t>
            </w:r>
            <w:r>
              <w:rPr>
                <w:sz w:val="28"/>
                <w:szCs w:val="28"/>
              </w:rPr>
              <w:t>小时</w:t>
            </w:r>
            <w:r>
              <w:rPr>
                <w:rFonts w:hint="eastAsia"/>
                <w:sz w:val="28"/>
                <w:szCs w:val="28"/>
                <w:lang w:eastAsia="zh-CN"/>
              </w:rPr>
              <w:t>，</w:t>
            </w:r>
            <w:r>
              <w:rPr>
                <w:sz w:val="28"/>
                <w:szCs w:val="28"/>
              </w:rPr>
              <w:t>不能满足项目要求的得</w:t>
            </w:r>
            <w:r>
              <w:rPr>
                <w:rFonts w:hint="eastAsia"/>
                <w:sz w:val="28"/>
                <w:szCs w:val="28"/>
                <w:lang w:val="en-US" w:eastAsia="zh-CN"/>
              </w:rPr>
              <w:t>1</w:t>
            </w:r>
            <w:r>
              <w:rPr>
                <w:sz w:val="28"/>
                <w:szCs w:val="28"/>
              </w:rPr>
              <w:t>分；</w:t>
            </w:r>
          </w:p>
          <w:p w14:paraId="2ECED8AB">
            <w:pPr>
              <w:numPr>
                <w:ilvl w:val="0"/>
                <w:numId w:val="0"/>
              </w:num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（4）不提供的不得分。</w:t>
            </w:r>
          </w:p>
        </w:tc>
      </w:tr>
      <w:tr w14:paraId="568B2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097BF4DE">
            <w:pPr>
              <w:rPr>
                <w:sz w:val="28"/>
                <w:szCs w:val="28"/>
              </w:rPr>
            </w:pPr>
          </w:p>
        </w:tc>
        <w:tc>
          <w:tcPr>
            <w:tcW w:w="2376" w:type="dxa"/>
            <w:noWrap w:val="0"/>
            <w:vAlign w:val="top"/>
          </w:tcPr>
          <w:p w14:paraId="2DF53128">
            <w:pPr>
              <w:ind w:left="0" w:leftChars="0" w:firstLine="0" w:firstLineChars="0"/>
              <w:jc w:val="left"/>
              <w:rPr>
                <w:sz w:val="28"/>
                <w:szCs w:val="28"/>
              </w:rPr>
            </w:pPr>
            <w:r>
              <w:rPr>
                <w:rFonts w:hint="eastAsia"/>
                <w:sz w:val="28"/>
                <w:szCs w:val="28"/>
              </w:rPr>
              <w:t>同类项目业绩的评审</w:t>
            </w:r>
            <w:r>
              <w:rPr>
                <w:sz w:val="28"/>
                <w:szCs w:val="28"/>
              </w:rPr>
              <w:t>(</w:t>
            </w:r>
            <w:r>
              <w:rPr>
                <w:rFonts w:hint="eastAsia"/>
                <w:sz w:val="28"/>
                <w:szCs w:val="28"/>
                <w:lang w:val="en-US" w:eastAsia="zh-CN"/>
              </w:rPr>
              <w:t>1</w:t>
            </w:r>
            <w:r>
              <w:rPr>
                <w:sz w:val="28"/>
                <w:szCs w:val="28"/>
              </w:rPr>
              <w:t>分)</w:t>
            </w:r>
          </w:p>
        </w:tc>
        <w:tc>
          <w:tcPr>
            <w:tcW w:w="5990" w:type="dxa"/>
            <w:noWrap w:val="0"/>
            <w:vAlign w:val="top"/>
          </w:tcPr>
          <w:p w14:paraId="5C9BAD70">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eastAsia="仿宋_GB2312"/>
                <w:sz w:val="28"/>
                <w:szCs w:val="28"/>
                <w:lang w:eastAsia="zh-CN"/>
              </w:rPr>
            </w:pPr>
            <w:r>
              <w:rPr>
                <w:rFonts w:hint="eastAsia"/>
                <w:sz w:val="28"/>
                <w:szCs w:val="28"/>
              </w:rPr>
              <w:t>投标人202</w:t>
            </w:r>
            <w:r>
              <w:rPr>
                <w:rFonts w:hint="eastAsia"/>
                <w:sz w:val="28"/>
                <w:szCs w:val="28"/>
                <w:lang w:val="en-US" w:eastAsia="zh-CN"/>
              </w:rPr>
              <w:t>4</w:t>
            </w:r>
            <w:r>
              <w:rPr>
                <w:rFonts w:hint="eastAsia"/>
                <w:sz w:val="28"/>
                <w:szCs w:val="28"/>
              </w:rPr>
              <w:t>年1月1日至今具有</w:t>
            </w:r>
            <w:r>
              <w:rPr>
                <w:rFonts w:hint="eastAsia"/>
                <w:sz w:val="28"/>
                <w:szCs w:val="28"/>
                <w:lang w:val="en-US" w:eastAsia="zh-CN"/>
              </w:rPr>
              <w:t>全自动台式荧光免疫分析仪的供货</w:t>
            </w:r>
            <w:r>
              <w:rPr>
                <w:rFonts w:hint="eastAsia"/>
                <w:sz w:val="28"/>
                <w:szCs w:val="28"/>
                <w:lang w:eastAsia="zh-CN"/>
              </w:rPr>
              <w:t>业绩</w:t>
            </w:r>
            <w:r>
              <w:rPr>
                <w:rFonts w:hint="eastAsia"/>
                <w:sz w:val="28"/>
                <w:szCs w:val="28"/>
              </w:rPr>
              <w:t>，每提供一项业绩合同得</w:t>
            </w:r>
            <w:r>
              <w:rPr>
                <w:rFonts w:hint="eastAsia"/>
                <w:sz w:val="28"/>
                <w:szCs w:val="28"/>
                <w:lang w:val="en-US" w:eastAsia="zh-CN"/>
              </w:rPr>
              <w:t>1</w:t>
            </w:r>
            <w:r>
              <w:rPr>
                <w:rFonts w:hint="eastAsia"/>
                <w:sz w:val="28"/>
                <w:szCs w:val="28"/>
              </w:rPr>
              <w:t>分，最高得</w:t>
            </w:r>
            <w:r>
              <w:rPr>
                <w:rFonts w:hint="eastAsia"/>
                <w:sz w:val="28"/>
                <w:szCs w:val="28"/>
                <w:lang w:val="en-US" w:eastAsia="zh-CN"/>
              </w:rPr>
              <w:t>1</w:t>
            </w:r>
            <w:r>
              <w:rPr>
                <w:rFonts w:hint="eastAsia"/>
                <w:sz w:val="28"/>
                <w:szCs w:val="28"/>
              </w:rPr>
              <w:t>分。（注：提供业绩的合同关键页 (包括但不限于项目名称、项目内容、签订时间、双方盖章页)等复印件加盖公章。</w:t>
            </w:r>
            <w:r>
              <w:rPr>
                <w:rFonts w:hint="eastAsia"/>
                <w:sz w:val="28"/>
                <w:szCs w:val="28"/>
                <w:lang w:eastAsia="zh-CN"/>
              </w:rPr>
              <w:t>）</w:t>
            </w:r>
          </w:p>
        </w:tc>
      </w:tr>
      <w:tr w14:paraId="2E9D4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1914AE50">
            <w:pPr>
              <w:ind w:left="0" w:leftChars="0" w:firstLine="0" w:firstLineChars="0"/>
              <w:jc w:val="both"/>
              <w:rPr>
                <w:sz w:val="28"/>
                <w:szCs w:val="28"/>
              </w:rPr>
            </w:pPr>
            <w:r>
              <w:rPr>
                <w:rFonts w:hint="eastAsia"/>
                <w:sz w:val="28"/>
                <w:szCs w:val="28"/>
                <w:lang w:val="en-US" w:eastAsia="zh-CN"/>
              </w:rPr>
              <w:t>投标</w:t>
            </w:r>
            <w:r>
              <w:rPr>
                <w:sz w:val="28"/>
                <w:szCs w:val="28"/>
              </w:rPr>
              <w:t>报价</w:t>
            </w:r>
          </w:p>
        </w:tc>
        <w:tc>
          <w:tcPr>
            <w:tcW w:w="2376" w:type="dxa"/>
            <w:noWrap w:val="0"/>
            <w:vAlign w:val="top"/>
          </w:tcPr>
          <w:p w14:paraId="6BF52596">
            <w:pPr>
              <w:ind w:left="0" w:leftChars="0" w:firstLine="0" w:firstLineChars="0"/>
              <w:jc w:val="left"/>
              <w:rPr>
                <w:sz w:val="28"/>
                <w:szCs w:val="28"/>
              </w:rPr>
            </w:pPr>
            <w:r>
              <w:rPr>
                <w:sz w:val="28"/>
                <w:szCs w:val="28"/>
              </w:rPr>
              <w:t>投标报价得分 (</w:t>
            </w:r>
            <w:r>
              <w:rPr>
                <w:rFonts w:hint="eastAsia"/>
                <w:sz w:val="28"/>
                <w:szCs w:val="28"/>
                <w:lang w:val="en-US" w:eastAsia="zh-CN"/>
              </w:rPr>
              <w:t>3</w:t>
            </w:r>
            <w:r>
              <w:rPr>
                <w:sz w:val="28"/>
                <w:szCs w:val="28"/>
              </w:rPr>
              <w:t>0分)</w:t>
            </w:r>
          </w:p>
          <w:p w14:paraId="39EC3E67">
            <w:pPr>
              <w:pStyle w:val="29"/>
            </w:pPr>
          </w:p>
        </w:tc>
        <w:tc>
          <w:tcPr>
            <w:tcW w:w="5990" w:type="dxa"/>
            <w:noWrap w:val="0"/>
            <w:vAlign w:val="top"/>
          </w:tcPr>
          <w:p w14:paraId="44855042">
            <w:pPr>
              <w:keepNext w:val="0"/>
              <w:keepLines w:val="0"/>
              <w:pageBreakBefore w:val="0"/>
              <w:widowControl w:val="0"/>
              <w:kinsoku/>
              <w:wordWrap/>
              <w:overflowPunct/>
              <w:topLinePunct w:val="0"/>
              <w:autoSpaceDE/>
              <w:autoSpaceDN/>
              <w:bidi w:val="0"/>
              <w:adjustRightInd/>
              <w:snapToGrid/>
              <w:jc w:val="both"/>
              <w:textAlignment w:val="auto"/>
            </w:pPr>
            <w:r>
              <w:rPr>
                <w:rFonts w:hint="eastAsia" w:ascii="仿宋" w:hAnsi="仿宋" w:eastAsia="仿宋" w:cstheme="minorBidi"/>
                <w:b w:val="0"/>
                <w:bCs w:val="0"/>
                <w:color w:val="auto"/>
                <w:sz w:val="28"/>
                <w:szCs w:val="28"/>
              </w:rPr>
              <w:t>投标报价得分(</w:t>
            </w:r>
            <w:r>
              <w:rPr>
                <w:rFonts w:hint="eastAsia" w:ascii="仿宋" w:hAnsi="仿宋" w:eastAsia="仿宋" w:cstheme="minorBidi"/>
                <w:b w:val="0"/>
                <w:bCs w:val="0"/>
                <w:color w:val="auto"/>
                <w:sz w:val="28"/>
                <w:szCs w:val="28"/>
                <w:lang w:val="en-US" w:eastAsia="zh-CN"/>
              </w:rPr>
              <w:t>30</w:t>
            </w:r>
            <w:r>
              <w:rPr>
                <w:rFonts w:hint="eastAsia" w:ascii="仿宋" w:hAnsi="仿宋" w:eastAsia="仿宋" w:cstheme="minorBidi"/>
                <w:b w:val="0"/>
                <w:bCs w:val="0"/>
                <w:color w:val="auto"/>
                <w:sz w:val="28"/>
                <w:szCs w:val="28"/>
              </w:rPr>
              <w:t>.0分)：投标报价得分＝（基准价/报价）×价格分值【注：（1）满足采购文件要求且投标价格最低的投标报价为评标基准价</w:t>
            </w:r>
            <w:r>
              <w:rPr>
                <w:rFonts w:hint="eastAsia" w:ascii="仿宋" w:hAnsi="仿宋" w:eastAsia="仿宋" w:cstheme="minorBidi"/>
                <w:b w:val="0"/>
                <w:bCs w:val="0"/>
                <w:color w:val="auto"/>
                <w:sz w:val="28"/>
                <w:szCs w:val="28"/>
                <w:lang w:eastAsia="zh-CN"/>
              </w:rPr>
              <w:t>，</w:t>
            </w:r>
            <w:r>
              <w:rPr>
                <w:rFonts w:hint="eastAsia" w:ascii="仿宋" w:hAnsi="仿宋" w:eastAsia="仿宋" w:cstheme="minorBidi"/>
                <w:b w:val="0"/>
                <w:bCs w:val="0"/>
                <w:color w:val="auto"/>
                <w:sz w:val="28"/>
                <w:szCs w:val="28"/>
              </w:rPr>
              <w:t>最低报价不是中标的唯一依据。（2）</w:t>
            </w:r>
            <w:r>
              <w:rPr>
                <w:rFonts w:hint="eastAsia" w:ascii="仿宋" w:hAnsi="仿宋" w:eastAsia="仿宋" w:cstheme="minorBidi"/>
                <w:b w:val="0"/>
                <w:bCs w:val="0"/>
                <w:color w:val="auto"/>
                <w:sz w:val="28"/>
                <w:szCs w:val="28"/>
                <w:u w:val="none"/>
                <w:lang w:val="en-US" w:eastAsia="zh-CN"/>
              </w:rPr>
              <w:t>投标报价=</w:t>
            </w:r>
            <w:r>
              <w:rPr>
                <w:rFonts w:hint="eastAsia" w:ascii="仿宋" w:hAnsi="仿宋" w:eastAsia="仿宋" w:cstheme="minorBidi"/>
                <w:b w:val="0"/>
                <w:bCs w:val="0"/>
                <w:color w:val="auto"/>
                <w:sz w:val="28"/>
                <w:szCs w:val="28"/>
                <w:u w:val="none"/>
              </w:rPr>
              <w:t>供应商的设备金额</w:t>
            </w:r>
            <w:r>
              <w:rPr>
                <w:rFonts w:hint="eastAsia" w:ascii="仿宋" w:hAnsi="仿宋" w:eastAsia="仿宋" w:cstheme="minorBidi"/>
                <w:b w:val="0"/>
                <w:bCs w:val="0"/>
                <w:color w:val="auto"/>
                <w:sz w:val="28"/>
                <w:szCs w:val="28"/>
                <w:u w:val="none"/>
                <w:lang w:val="en-US" w:eastAsia="zh-CN"/>
              </w:rPr>
              <w:t>+</w:t>
            </w:r>
            <w:r>
              <w:rPr>
                <w:rFonts w:hint="eastAsia" w:ascii="仿宋" w:hAnsi="仿宋" w:eastAsia="仿宋" w:cstheme="minorBidi"/>
                <w:b w:val="0"/>
                <w:bCs w:val="0"/>
                <w:color w:val="auto"/>
                <w:sz w:val="28"/>
                <w:szCs w:val="28"/>
                <w:highlight w:val="none"/>
                <w:u w:val="none"/>
                <w:lang w:val="en-US" w:eastAsia="zh-CN"/>
              </w:rPr>
              <w:t>两</w:t>
            </w:r>
            <w:r>
              <w:rPr>
                <w:rFonts w:hint="eastAsia" w:ascii="仿宋" w:hAnsi="仿宋" w:eastAsia="仿宋" w:cstheme="minorBidi"/>
                <w:b w:val="0"/>
                <w:bCs w:val="0"/>
                <w:color w:val="auto"/>
                <w:sz w:val="28"/>
                <w:szCs w:val="28"/>
                <w:u w:val="none"/>
              </w:rPr>
              <w:t>年内的专机专用耗材</w:t>
            </w:r>
            <w:r>
              <w:rPr>
                <w:rFonts w:hint="eastAsia" w:ascii="仿宋" w:hAnsi="仿宋" w:eastAsia="仿宋" w:cstheme="minorBidi"/>
                <w:b w:val="0"/>
                <w:bCs w:val="0"/>
                <w:color w:val="auto"/>
                <w:sz w:val="28"/>
                <w:szCs w:val="28"/>
                <w:u w:val="none"/>
                <w:lang w:val="en-US" w:eastAsia="zh-CN"/>
              </w:rPr>
              <w:t>金额，一年内的专机专用耗材预估使用量</w:t>
            </w:r>
            <w:r>
              <w:rPr>
                <w:rFonts w:hint="eastAsia" w:ascii="仿宋" w:hAnsi="仿宋" w:eastAsia="仿宋" w:cstheme="minorBidi"/>
                <w:b w:val="0"/>
                <w:bCs w:val="0"/>
                <w:color w:val="auto"/>
                <w:sz w:val="28"/>
                <w:szCs w:val="28"/>
                <w:u w:val="none"/>
              </w:rPr>
              <w:t>为</w:t>
            </w:r>
            <w:r>
              <w:rPr>
                <w:rFonts w:hint="eastAsia" w:ascii="仿宋" w:hAnsi="仿宋" w:eastAsia="仿宋" w:cstheme="minorBidi"/>
                <w:b w:val="0"/>
                <w:bCs w:val="0"/>
                <w:color w:val="auto"/>
                <w:sz w:val="28"/>
                <w:szCs w:val="28"/>
                <w:u w:val="none"/>
                <w:lang w:val="en-US" w:eastAsia="zh-CN"/>
              </w:rPr>
              <w:t>血清肌钙蛋白Ⅰ测定-干免疫法10000例，血清肌钙蛋白Ⅰ测定-各种免疫学方法10000例，B型钠尿肽测定8000例，氨基末端钠尿肽前体测定8000例，血浆D-二聚体测定(D-Dimer)-各种免疫学方法7000例。</w:t>
            </w:r>
            <w:r>
              <w:rPr>
                <w:rFonts w:hint="eastAsia" w:ascii="仿宋" w:hAnsi="仿宋" w:eastAsia="仿宋" w:cstheme="minorBidi"/>
                <w:b w:val="0"/>
                <w:bCs w:val="0"/>
                <w:color w:val="auto"/>
                <w:sz w:val="28"/>
                <w:szCs w:val="28"/>
                <w:u w:val="none"/>
                <w:lang w:eastAsia="zh-CN"/>
              </w:rPr>
              <w:t>（</w:t>
            </w:r>
            <w:r>
              <w:rPr>
                <w:rFonts w:hint="eastAsia" w:ascii="仿宋" w:hAnsi="仿宋" w:eastAsia="仿宋" w:cstheme="minorBidi"/>
                <w:b w:val="0"/>
                <w:bCs w:val="0"/>
                <w:color w:val="auto"/>
                <w:sz w:val="28"/>
                <w:szCs w:val="28"/>
                <w:u w:val="none"/>
                <w:lang w:val="en-US" w:eastAsia="zh-CN"/>
              </w:rPr>
              <w:t>3</w:t>
            </w:r>
            <w:r>
              <w:rPr>
                <w:rFonts w:hint="eastAsia" w:ascii="仿宋" w:hAnsi="仿宋" w:eastAsia="仿宋" w:cstheme="minorBidi"/>
                <w:b w:val="0"/>
                <w:bCs w:val="0"/>
                <w:color w:val="auto"/>
                <w:sz w:val="28"/>
                <w:szCs w:val="28"/>
                <w:u w:val="none"/>
                <w:lang w:eastAsia="zh-CN"/>
              </w:rPr>
              <w:t>）</w:t>
            </w:r>
            <w:r>
              <w:rPr>
                <w:rFonts w:hint="eastAsia" w:ascii="仿宋" w:hAnsi="仿宋" w:eastAsia="仿宋" w:cstheme="minorBidi"/>
                <w:b w:val="0"/>
                <w:bCs w:val="0"/>
                <w:color w:val="auto"/>
                <w:sz w:val="28"/>
                <w:szCs w:val="28"/>
                <w:u w:val="none"/>
                <w:lang w:val="en-US" w:eastAsia="zh-CN"/>
              </w:rPr>
              <w:t>上述</w:t>
            </w:r>
            <w:r>
              <w:rPr>
                <w:rFonts w:hint="eastAsia" w:ascii="仿宋" w:hAnsi="仿宋" w:eastAsia="仿宋" w:cstheme="minorBidi"/>
                <w:b w:val="0"/>
                <w:bCs w:val="0"/>
                <w:color w:val="auto"/>
                <w:sz w:val="28"/>
                <w:szCs w:val="28"/>
                <w:u w:val="none"/>
              </w:rPr>
              <w:t>耗材</w:t>
            </w:r>
            <w:r>
              <w:rPr>
                <w:rFonts w:hint="eastAsia" w:ascii="仿宋" w:hAnsi="仿宋" w:eastAsia="仿宋" w:cstheme="minorBidi"/>
                <w:b w:val="0"/>
                <w:bCs w:val="0"/>
                <w:color w:val="auto"/>
                <w:sz w:val="28"/>
                <w:szCs w:val="28"/>
                <w:u w:val="none"/>
                <w:lang w:val="en-US" w:eastAsia="zh-CN"/>
              </w:rPr>
              <w:t>预估</w:t>
            </w:r>
            <w:r>
              <w:rPr>
                <w:rFonts w:hint="eastAsia" w:ascii="仿宋" w:hAnsi="仿宋" w:eastAsia="仿宋" w:cstheme="minorBidi"/>
                <w:b w:val="0"/>
                <w:bCs w:val="0"/>
                <w:color w:val="auto"/>
                <w:sz w:val="28"/>
                <w:szCs w:val="28"/>
                <w:u w:val="none"/>
              </w:rPr>
              <w:t>使用量</w:t>
            </w:r>
            <w:r>
              <w:rPr>
                <w:rFonts w:hint="eastAsia" w:ascii="仿宋" w:hAnsi="仿宋" w:eastAsia="仿宋" w:cstheme="minorBidi"/>
                <w:b w:val="0"/>
                <w:bCs w:val="0"/>
                <w:color w:val="auto"/>
                <w:sz w:val="28"/>
                <w:szCs w:val="28"/>
                <w:u w:val="none"/>
                <w:lang w:val="en-US" w:eastAsia="zh-CN"/>
              </w:rPr>
              <w:t>仅</w:t>
            </w:r>
            <w:r>
              <w:rPr>
                <w:rFonts w:hint="eastAsia" w:ascii="仿宋" w:hAnsi="仿宋" w:eastAsia="仿宋" w:cstheme="minorBidi"/>
                <w:b w:val="0"/>
                <w:bCs w:val="0"/>
                <w:color w:val="auto"/>
                <w:sz w:val="28"/>
                <w:szCs w:val="28"/>
                <w:u w:val="none"/>
              </w:rPr>
              <w:t>为本项目评审价格计算用，并非采购人耗材使用量的承诺。若投标人不对耗材进行报价，采购人有权视为投标人对本项目报价响应缺漏，可能导致投标无效。</w:t>
            </w:r>
            <w:r>
              <w:rPr>
                <w:rFonts w:hint="eastAsia" w:ascii="仿宋" w:hAnsi="仿宋" w:eastAsia="仿宋" w:cstheme="minorBidi"/>
                <w:b w:val="0"/>
                <w:bCs w:val="0"/>
                <w:color w:val="auto"/>
                <w:sz w:val="28"/>
                <w:szCs w:val="28"/>
              </w:rPr>
              <w:t>】</w:t>
            </w:r>
          </w:p>
        </w:tc>
      </w:tr>
    </w:tbl>
    <w:p w14:paraId="78BE4340">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sectPr>
      <w:footerReference r:id="rId5" w:type="default"/>
      <w:footerReference r:id="rId6" w:type="even"/>
      <w:pgSz w:w="11906" w:h="16838"/>
      <w:pgMar w:top="2098" w:right="1474" w:bottom="1984" w:left="1587" w:header="851" w:footer="1389" w:gutter="0"/>
      <w:cols w:space="0" w:num="1"/>
      <w:rtlGutter w:val="0"/>
      <w:docGrid w:type="linesAndChars" w:linePitch="589" w:charSpace="1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368"/>
    </w:sdtPr>
    <w:sdtContent>
      <w:p w14:paraId="69974BFC">
        <w:pPr>
          <w:pStyle w:val="7"/>
          <w:ind w:right="320" w:rightChars="100" w:firstLine="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73C73">
    <w:pPr>
      <w:pStyle w:val="7"/>
      <w:ind w:left="320" w:leftChars="100" w:firstLine="0"/>
    </w:pPr>
    <w:r>
      <w:rPr>
        <w:rFonts w:hint="eastAsia" w:ascii="宋体" w:hAnsi="宋体" w:eastAsia="宋体"/>
        <w:sz w:val="28"/>
        <w:szCs w:val="28"/>
      </w:rPr>
      <w:t xml:space="preserve">— </w:t>
    </w:r>
    <w:sdt>
      <w:sdtPr>
        <w:rPr>
          <w:rFonts w:ascii="宋体" w:hAnsi="宋体" w:eastAsia="宋体"/>
          <w:sz w:val="28"/>
          <w:szCs w:val="28"/>
        </w:rPr>
        <w:id w:val="147454186"/>
      </w:sdtPr>
      <w:sdtEndPr>
        <w:rPr>
          <w:rFonts w:ascii="Times New Roman" w:hAnsi="Times New Roman" w:eastAsia="仿宋_GB2312"/>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4"/>
  <w:drawingGridVerticalSpacing w:val="2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zQ0NmNmYjlhYmM0NDBmZTg1MDM0MTljOTVkODIifQ=="/>
  </w:docVars>
  <w:rsids>
    <w:rsidRoot w:val="009A59A7"/>
    <w:rsid w:val="0000008E"/>
    <w:rsid w:val="00000136"/>
    <w:rsid w:val="000007A8"/>
    <w:rsid w:val="00006C47"/>
    <w:rsid w:val="000076DA"/>
    <w:rsid w:val="0001143F"/>
    <w:rsid w:val="00013177"/>
    <w:rsid w:val="0002365E"/>
    <w:rsid w:val="0002613A"/>
    <w:rsid w:val="00030F1A"/>
    <w:rsid w:val="00031572"/>
    <w:rsid w:val="00034C57"/>
    <w:rsid w:val="00052DFD"/>
    <w:rsid w:val="000541F4"/>
    <w:rsid w:val="00054B7F"/>
    <w:rsid w:val="00076578"/>
    <w:rsid w:val="00081243"/>
    <w:rsid w:val="00082650"/>
    <w:rsid w:val="00087029"/>
    <w:rsid w:val="0008752A"/>
    <w:rsid w:val="00092FC1"/>
    <w:rsid w:val="000A1C14"/>
    <w:rsid w:val="000A36F5"/>
    <w:rsid w:val="000A3F79"/>
    <w:rsid w:val="000B0F95"/>
    <w:rsid w:val="000B1C44"/>
    <w:rsid w:val="000B40A0"/>
    <w:rsid w:val="000B4A23"/>
    <w:rsid w:val="000B4E35"/>
    <w:rsid w:val="000B5C73"/>
    <w:rsid w:val="000C18DF"/>
    <w:rsid w:val="000C1EB1"/>
    <w:rsid w:val="000C4553"/>
    <w:rsid w:val="000D7232"/>
    <w:rsid w:val="000E57D1"/>
    <w:rsid w:val="000F632B"/>
    <w:rsid w:val="0010309F"/>
    <w:rsid w:val="00103817"/>
    <w:rsid w:val="00103B7E"/>
    <w:rsid w:val="00120C2B"/>
    <w:rsid w:val="00120FCC"/>
    <w:rsid w:val="00122162"/>
    <w:rsid w:val="0012262D"/>
    <w:rsid w:val="00123214"/>
    <w:rsid w:val="001244C5"/>
    <w:rsid w:val="001302BF"/>
    <w:rsid w:val="00130F95"/>
    <w:rsid w:val="001315C1"/>
    <w:rsid w:val="001325CD"/>
    <w:rsid w:val="001344AF"/>
    <w:rsid w:val="00141299"/>
    <w:rsid w:val="00141842"/>
    <w:rsid w:val="00143D26"/>
    <w:rsid w:val="001440DF"/>
    <w:rsid w:val="00145F9F"/>
    <w:rsid w:val="00146A53"/>
    <w:rsid w:val="00155249"/>
    <w:rsid w:val="00156673"/>
    <w:rsid w:val="0015713B"/>
    <w:rsid w:val="001601ED"/>
    <w:rsid w:val="00161113"/>
    <w:rsid w:val="00163947"/>
    <w:rsid w:val="00163FFE"/>
    <w:rsid w:val="0018104B"/>
    <w:rsid w:val="00193F88"/>
    <w:rsid w:val="00194029"/>
    <w:rsid w:val="00194823"/>
    <w:rsid w:val="00195EBA"/>
    <w:rsid w:val="00196EDA"/>
    <w:rsid w:val="00197854"/>
    <w:rsid w:val="001A24E6"/>
    <w:rsid w:val="001A4447"/>
    <w:rsid w:val="001B1333"/>
    <w:rsid w:val="001B1B71"/>
    <w:rsid w:val="001B2A68"/>
    <w:rsid w:val="001C4EA1"/>
    <w:rsid w:val="001C7344"/>
    <w:rsid w:val="001D277D"/>
    <w:rsid w:val="001D57C9"/>
    <w:rsid w:val="001E66AD"/>
    <w:rsid w:val="001E748A"/>
    <w:rsid w:val="001E75F5"/>
    <w:rsid w:val="001F1E42"/>
    <w:rsid w:val="001F2B01"/>
    <w:rsid w:val="001F61A3"/>
    <w:rsid w:val="00201605"/>
    <w:rsid w:val="00201B09"/>
    <w:rsid w:val="0020337F"/>
    <w:rsid w:val="00205D93"/>
    <w:rsid w:val="00211325"/>
    <w:rsid w:val="00213CF6"/>
    <w:rsid w:val="00217EB6"/>
    <w:rsid w:val="0022025E"/>
    <w:rsid w:val="0022087F"/>
    <w:rsid w:val="002235DD"/>
    <w:rsid w:val="00225074"/>
    <w:rsid w:val="00225A40"/>
    <w:rsid w:val="00225D74"/>
    <w:rsid w:val="002263DC"/>
    <w:rsid w:val="00227FF5"/>
    <w:rsid w:val="0024036D"/>
    <w:rsid w:val="002414CF"/>
    <w:rsid w:val="00243695"/>
    <w:rsid w:val="0025147A"/>
    <w:rsid w:val="00257A98"/>
    <w:rsid w:val="00257BBF"/>
    <w:rsid w:val="0026359B"/>
    <w:rsid w:val="00263A16"/>
    <w:rsid w:val="00265CB5"/>
    <w:rsid w:val="00271D88"/>
    <w:rsid w:val="0027272D"/>
    <w:rsid w:val="00273DFA"/>
    <w:rsid w:val="002751DD"/>
    <w:rsid w:val="00275BDD"/>
    <w:rsid w:val="00277D7F"/>
    <w:rsid w:val="00285A10"/>
    <w:rsid w:val="00287327"/>
    <w:rsid w:val="0029452B"/>
    <w:rsid w:val="002A35A5"/>
    <w:rsid w:val="002B0637"/>
    <w:rsid w:val="002B0DC8"/>
    <w:rsid w:val="002B16C9"/>
    <w:rsid w:val="002B571C"/>
    <w:rsid w:val="002B66FD"/>
    <w:rsid w:val="002C0DD6"/>
    <w:rsid w:val="002C6A1A"/>
    <w:rsid w:val="002C7F54"/>
    <w:rsid w:val="002D7395"/>
    <w:rsid w:val="002E237F"/>
    <w:rsid w:val="002E412B"/>
    <w:rsid w:val="002E41F5"/>
    <w:rsid w:val="002E61B9"/>
    <w:rsid w:val="00301D14"/>
    <w:rsid w:val="00304B70"/>
    <w:rsid w:val="0030630E"/>
    <w:rsid w:val="00306A5A"/>
    <w:rsid w:val="003118DE"/>
    <w:rsid w:val="00317450"/>
    <w:rsid w:val="00317B17"/>
    <w:rsid w:val="00321DFD"/>
    <w:rsid w:val="00324D61"/>
    <w:rsid w:val="00331269"/>
    <w:rsid w:val="00331765"/>
    <w:rsid w:val="00335706"/>
    <w:rsid w:val="003462FA"/>
    <w:rsid w:val="0035436B"/>
    <w:rsid w:val="00354B6F"/>
    <w:rsid w:val="00354BBF"/>
    <w:rsid w:val="00357D77"/>
    <w:rsid w:val="003627A5"/>
    <w:rsid w:val="00363973"/>
    <w:rsid w:val="00363C52"/>
    <w:rsid w:val="00365D7C"/>
    <w:rsid w:val="00367A87"/>
    <w:rsid w:val="00375165"/>
    <w:rsid w:val="00385974"/>
    <w:rsid w:val="00396D38"/>
    <w:rsid w:val="003975FC"/>
    <w:rsid w:val="003A2354"/>
    <w:rsid w:val="003A287F"/>
    <w:rsid w:val="003A3428"/>
    <w:rsid w:val="003A6B84"/>
    <w:rsid w:val="003A7FDB"/>
    <w:rsid w:val="003B15FA"/>
    <w:rsid w:val="003B6F29"/>
    <w:rsid w:val="003C06FD"/>
    <w:rsid w:val="003C25CA"/>
    <w:rsid w:val="003C778E"/>
    <w:rsid w:val="003D0D49"/>
    <w:rsid w:val="003E3E9A"/>
    <w:rsid w:val="003E6D58"/>
    <w:rsid w:val="003E7246"/>
    <w:rsid w:val="003F1C9C"/>
    <w:rsid w:val="003F292B"/>
    <w:rsid w:val="003F2E03"/>
    <w:rsid w:val="004025CD"/>
    <w:rsid w:val="00403BED"/>
    <w:rsid w:val="0040411E"/>
    <w:rsid w:val="004052B2"/>
    <w:rsid w:val="00407D3F"/>
    <w:rsid w:val="00411B07"/>
    <w:rsid w:val="00412D70"/>
    <w:rsid w:val="00414DD2"/>
    <w:rsid w:val="0042121D"/>
    <w:rsid w:val="004258B3"/>
    <w:rsid w:val="00433431"/>
    <w:rsid w:val="0043482F"/>
    <w:rsid w:val="004462BF"/>
    <w:rsid w:val="0044771C"/>
    <w:rsid w:val="0045167E"/>
    <w:rsid w:val="004542D9"/>
    <w:rsid w:val="004555DA"/>
    <w:rsid w:val="0045705A"/>
    <w:rsid w:val="00463933"/>
    <w:rsid w:val="004743AB"/>
    <w:rsid w:val="004762A8"/>
    <w:rsid w:val="00477D13"/>
    <w:rsid w:val="00481685"/>
    <w:rsid w:val="004849D9"/>
    <w:rsid w:val="00485C46"/>
    <w:rsid w:val="00493C16"/>
    <w:rsid w:val="00493F4A"/>
    <w:rsid w:val="00494368"/>
    <w:rsid w:val="00494B9F"/>
    <w:rsid w:val="004A6E29"/>
    <w:rsid w:val="004B144E"/>
    <w:rsid w:val="004B5CDD"/>
    <w:rsid w:val="004B71F6"/>
    <w:rsid w:val="004B7AFA"/>
    <w:rsid w:val="004C01E3"/>
    <w:rsid w:val="004C08BF"/>
    <w:rsid w:val="004C0BB3"/>
    <w:rsid w:val="004D4DC6"/>
    <w:rsid w:val="004D5105"/>
    <w:rsid w:val="004D6964"/>
    <w:rsid w:val="004F04AA"/>
    <w:rsid w:val="004F2AC4"/>
    <w:rsid w:val="004F4C25"/>
    <w:rsid w:val="004F5211"/>
    <w:rsid w:val="005022A4"/>
    <w:rsid w:val="00511147"/>
    <w:rsid w:val="00516D24"/>
    <w:rsid w:val="00517059"/>
    <w:rsid w:val="00517202"/>
    <w:rsid w:val="00522C2F"/>
    <w:rsid w:val="0052575B"/>
    <w:rsid w:val="00532801"/>
    <w:rsid w:val="00535B02"/>
    <w:rsid w:val="00541E27"/>
    <w:rsid w:val="0054519E"/>
    <w:rsid w:val="00556000"/>
    <w:rsid w:val="00561A2B"/>
    <w:rsid w:val="00562309"/>
    <w:rsid w:val="00565508"/>
    <w:rsid w:val="005669DE"/>
    <w:rsid w:val="005720F7"/>
    <w:rsid w:val="005733B5"/>
    <w:rsid w:val="00575F65"/>
    <w:rsid w:val="005769D9"/>
    <w:rsid w:val="0057702D"/>
    <w:rsid w:val="00577BC2"/>
    <w:rsid w:val="00583A4F"/>
    <w:rsid w:val="00583CA1"/>
    <w:rsid w:val="00590D69"/>
    <w:rsid w:val="00591462"/>
    <w:rsid w:val="005A07A6"/>
    <w:rsid w:val="005A64D4"/>
    <w:rsid w:val="005A773E"/>
    <w:rsid w:val="005B3C9C"/>
    <w:rsid w:val="005B610C"/>
    <w:rsid w:val="005B6A5F"/>
    <w:rsid w:val="005C6DE6"/>
    <w:rsid w:val="005D1C18"/>
    <w:rsid w:val="005D66EC"/>
    <w:rsid w:val="005E77C3"/>
    <w:rsid w:val="005E7A6D"/>
    <w:rsid w:val="005F0B80"/>
    <w:rsid w:val="005F5EB3"/>
    <w:rsid w:val="005F6FA7"/>
    <w:rsid w:val="00602698"/>
    <w:rsid w:val="006031DD"/>
    <w:rsid w:val="006033F3"/>
    <w:rsid w:val="006033F4"/>
    <w:rsid w:val="00607155"/>
    <w:rsid w:val="00607359"/>
    <w:rsid w:val="00611496"/>
    <w:rsid w:val="006162E4"/>
    <w:rsid w:val="00616AAD"/>
    <w:rsid w:val="00622D18"/>
    <w:rsid w:val="006242D9"/>
    <w:rsid w:val="00625C7A"/>
    <w:rsid w:val="00626C8C"/>
    <w:rsid w:val="00630355"/>
    <w:rsid w:val="00631FE5"/>
    <w:rsid w:val="00633CE2"/>
    <w:rsid w:val="00634A37"/>
    <w:rsid w:val="0065210E"/>
    <w:rsid w:val="00654F7F"/>
    <w:rsid w:val="0065726F"/>
    <w:rsid w:val="006573B3"/>
    <w:rsid w:val="00657FE3"/>
    <w:rsid w:val="00661709"/>
    <w:rsid w:val="00662F16"/>
    <w:rsid w:val="00672886"/>
    <w:rsid w:val="00672B3F"/>
    <w:rsid w:val="00673408"/>
    <w:rsid w:val="00676537"/>
    <w:rsid w:val="00677F80"/>
    <w:rsid w:val="00681572"/>
    <w:rsid w:val="0068181F"/>
    <w:rsid w:val="00681CBA"/>
    <w:rsid w:val="0068467D"/>
    <w:rsid w:val="0068678D"/>
    <w:rsid w:val="006870CE"/>
    <w:rsid w:val="006931E5"/>
    <w:rsid w:val="006A3C5A"/>
    <w:rsid w:val="006A3E39"/>
    <w:rsid w:val="006B00BC"/>
    <w:rsid w:val="006B10A0"/>
    <w:rsid w:val="006B1C21"/>
    <w:rsid w:val="006B5BD9"/>
    <w:rsid w:val="006B6D32"/>
    <w:rsid w:val="006C50BA"/>
    <w:rsid w:val="006C7E9A"/>
    <w:rsid w:val="006D04D8"/>
    <w:rsid w:val="006D68CE"/>
    <w:rsid w:val="006E4287"/>
    <w:rsid w:val="006E4C8E"/>
    <w:rsid w:val="006E7225"/>
    <w:rsid w:val="006F5FEB"/>
    <w:rsid w:val="00701D5E"/>
    <w:rsid w:val="0070270D"/>
    <w:rsid w:val="00702963"/>
    <w:rsid w:val="00703CFC"/>
    <w:rsid w:val="00703F4D"/>
    <w:rsid w:val="0070775C"/>
    <w:rsid w:val="007101E9"/>
    <w:rsid w:val="0071150D"/>
    <w:rsid w:val="00711A06"/>
    <w:rsid w:val="00720675"/>
    <w:rsid w:val="0072294B"/>
    <w:rsid w:val="00731AA4"/>
    <w:rsid w:val="00736108"/>
    <w:rsid w:val="00737005"/>
    <w:rsid w:val="007372CD"/>
    <w:rsid w:val="007422EF"/>
    <w:rsid w:val="007444AE"/>
    <w:rsid w:val="0074764A"/>
    <w:rsid w:val="00747BBE"/>
    <w:rsid w:val="00747CAC"/>
    <w:rsid w:val="00752B24"/>
    <w:rsid w:val="0076752D"/>
    <w:rsid w:val="00767BAC"/>
    <w:rsid w:val="0077065B"/>
    <w:rsid w:val="00776BEE"/>
    <w:rsid w:val="007876D7"/>
    <w:rsid w:val="00790882"/>
    <w:rsid w:val="00792A55"/>
    <w:rsid w:val="00797A50"/>
    <w:rsid w:val="007A0181"/>
    <w:rsid w:val="007A21EE"/>
    <w:rsid w:val="007B2492"/>
    <w:rsid w:val="007B3BB0"/>
    <w:rsid w:val="007C1B64"/>
    <w:rsid w:val="007C2CBE"/>
    <w:rsid w:val="007C420A"/>
    <w:rsid w:val="007D1022"/>
    <w:rsid w:val="007D2A49"/>
    <w:rsid w:val="007D7699"/>
    <w:rsid w:val="007E1CA9"/>
    <w:rsid w:val="007E29C5"/>
    <w:rsid w:val="007E49F3"/>
    <w:rsid w:val="007E51BC"/>
    <w:rsid w:val="007E522C"/>
    <w:rsid w:val="007E7E57"/>
    <w:rsid w:val="007F47A4"/>
    <w:rsid w:val="0080214E"/>
    <w:rsid w:val="00804542"/>
    <w:rsid w:val="008117FC"/>
    <w:rsid w:val="00817134"/>
    <w:rsid w:val="00821A2F"/>
    <w:rsid w:val="0082281C"/>
    <w:rsid w:val="00822D3F"/>
    <w:rsid w:val="00823456"/>
    <w:rsid w:val="00824F06"/>
    <w:rsid w:val="008257FB"/>
    <w:rsid w:val="008355A3"/>
    <w:rsid w:val="008355D1"/>
    <w:rsid w:val="00836BD2"/>
    <w:rsid w:val="00840DB9"/>
    <w:rsid w:val="00841E40"/>
    <w:rsid w:val="008421C6"/>
    <w:rsid w:val="008455BF"/>
    <w:rsid w:val="00846983"/>
    <w:rsid w:val="008514AB"/>
    <w:rsid w:val="0085448E"/>
    <w:rsid w:val="00860BA1"/>
    <w:rsid w:val="0086615A"/>
    <w:rsid w:val="00866CE3"/>
    <w:rsid w:val="0087079A"/>
    <w:rsid w:val="00870ACA"/>
    <w:rsid w:val="00872168"/>
    <w:rsid w:val="00873C2D"/>
    <w:rsid w:val="00883868"/>
    <w:rsid w:val="008870BE"/>
    <w:rsid w:val="00890177"/>
    <w:rsid w:val="00890A06"/>
    <w:rsid w:val="00890A16"/>
    <w:rsid w:val="00895291"/>
    <w:rsid w:val="008A219A"/>
    <w:rsid w:val="008A4E9B"/>
    <w:rsid w:val="008A7BC0"/>
    <w:rsid w:val="008B16B8"/>
    <w:rsid w:val="008C1CBF"/>
    <w:rsid w:val="008C3B7B"/>
    <w:rsid w:val="008C40C3"/>
    <w:rsid w:val="008D1FDF"/>
    <w:rsid w:val="008D5108"/>
    <w:rsid w:val="008E22F4"/>
    <w:rsid w:val="008E2AF7"/>
    <w:rsid w:val="008E3551"/>
    <w:rsid w:val="008E477E"/>
    <w:rsid w:val="008E6045"/>
    <w:rsid w:val="008F2507"/>
    <w:rsid w:val="008F3CB1"/>
    <w:rsid w:val="0090112A"/>
    <w:rsid w:val="00901797"/>
    <w:rsid w:val="009028FC"/>
    <w:rsid w:val="00903D09"/>
    <w:rsid w:val="00905AF1"/>
    <w:rsid w:val="0090601E"/>
    <w:rsid w:val="0090750B"/>
    <w:rsid w:val="00914C9E"/>
    <w:rsid w:val="00914E02"/>
    <w:rsid w:val="009239D6"/>
    <w:rsid w:val="00931CBE"/>
    <w:rsid w:val="00933ACA"/>
    <w:rsid w:val="00934C4D"/>
    <w:rsid w:val="00935FA0"/>
    <w:rsid w:val="00937652"/>
    <w:rsid w:val="00937E9A"/>
    <w:rsid w:val="00947FB2"/>
    <w:rsid w:val="00950B52"/>
    <w:rsid w:val="0095209B"/>
    <w:rsid w:val="00955866"/>
    <w:rsid w:val="00956A6F"/>
    <w:rsid w:val="0096213C"/>
    <w:rsid w:val="009625A6"/>
    <w:rsid w:val="00964A6F"/>
    <w:rsid w:val="00965F2D"/>
    <w:rsid w:val="00966500"/>
    <w:rsid w:val="009705DE"/>
    <w:rsid w:val="009707AA"/>
    <w:rsid w:val="00971977"/>
    <w:rsid w:val="00977775"/>
    <w:rsid w:val="00986C96"/>
    <w:rsid w:val="009875F5"/>
    <w:rsid w:val="0099151D"/>
    <w:rsid w:val="0099486D"/>
    <w:rsid w:val="00995588"/>
    <w:rsid w:val="0099655C"/>
    <w:rsid w:val="009A27A0"/>
    <w:rsid w:val="009A3686"/>
    <w:rsid w:val="009A3A41"/>
    <w:rsid w:val="009A59A7"/>
    <w:rsid w:val="009B115C"/>
    <w:rsid w:val="009C130C"/>
    <w:rsid w:val="009C2AB9"/>
    <w:rsid w:val="009C469B"/>
    <w:rsid w:val="009C5EDC"/>
    <w:rsid w:val="009C7B78"/>
    <w:rsid w:val="009D0710"/>
    <w:rsid w:val="009D3D3A"/>
    <w:rsid w:val="009D5169"/>
    <w:rsid w:val="009E42B6"/>
    <w:rsid w:val="009E60D1"/>
    <w:rsid w:val="009F3634"/>
    <w:rsid w:val="009F424B"/>
    <w:rsid w:val="009F66FB"/>
    <w:rsid w:val="009F7945"/>
    <w:rsid w:val="00A01541"/>
    <w:rsid w:val="00A0484A"/>
    <w:rsid w:val="00A07C9F"/>
    <w:rsid w:val="00A122B9"/>
    <w:rsid w:val="00A12CFD"/>
    <w:rsid w:val="00A20822"/>
    <w:rsid w:val="00A26018"/>
    <w:rsid w:val="00A31026"/>
    <w:rsid w:val="00A32EEE"/>
    <w:rsid w:val="00A34428"/>
    <w:rsid w:val="00A34B0E"/>
    <w:rsid w:val="00A36E92"/>
    <w:rsid w:val="00A42021"/>
    <w:rsid w:val="00A4286A"/>
    <w:rsid w:val="00A47E22"/>
    <w:rsid w:val="00A5186C"/>
    <w:rsid w:val="00A53370"/>
    <w:rsid w:val="00A572AE"/>
    <w:rsid w:val="00A573A1"/>
    <w:rsid w:val="00A722DD"/>
    <w:rsid w:val="00A7254F"/>
    <w:rsid w:val="00A76BE8"/>
    <w:rsid w:val="00A7720E"/>
    <w:rsid w:val="00A829C6"/>
    <w:rsid w:val="00A83EA1"/>
    <w:rsid w:val="00A85C68"/>
    <w:rsid w:val="00A86451"/>
    <w:rsid w:val="00A920E8"/>
    <w:rsid w:val="00A979D7"/>
    <w:rsid w:val="00AA1E13"/>
    <w:rsid w:val="00AA7181"/>
    <w:rsid w:val="00AB064B"/>
    <w:rsid w:val="00AB3C9F"/>
    <w:rsid w:val="00AB3CEC"/>
    <w:rsid w:val="00AB799F"/>
    <w:rsid w:val="00AB7B01"/>
    <w:rsid w:val="00AC1284"/>
    <w:rsid w:val="00AC2860"/>
    <w:rsid w:val="00AC49A3"/>
    <w:rsid w:val="00AC57BB"/>
    <w:rsid w:val="00AD473A"/>
    <w:rsid w:val="00AD4A3A"/>
    <w:rsid w:val="00AE00EC"/>
    <w:rsid w:val="00AE275F"/>
    <w:rsid w:val="00AE54CD"/>
    <w:rsid w:val="00AE5503"/>
    <w:rsid w:val="00AE6573"/>
    <w:rsid w:val="00AF0B90"/>
    <w:rsid w:val="00AF0F69"/>
    <w:rsid w:val="00AF178D"/>
    <w:rsid w:val="00AF5B39"/>
    <w:rsid w:val="00AF68C9"/>
    <w:rsid w:val="00AF6C0C"/>
    <w:rsid w:val="00B00057"/>
    <w:rsid w:val="00B07063"/>
    <w:rsid w:val="00B071A8"/>
    <w:rsid w:val="00B101F9"/>
    <w:rsid w:val="00B210F5"/>
    <w:rsid w:val="00B26BD2"/>
    <w:rsid w:val="00B27EC2"/>
    <w:rsid w:val="00B30CCB"/>
    <w:rsid w:val="00B310F1"/>
    <w:rsid w:val="00B3136A"/>
    <w:rsid w:val="00B3721D"/>
    <w:rsid w:val="00B404B3"/>
    <w:rsid w:val="00B412D6"/>
    <w:rsid w:val="00B4697A"/>
    <w:rsid w:val="00B61BB1"/>
    <w:rsid w:val="00B61F91"/>
    <w:rsid w:val="00B62DE4"/>
    <w:rsid w:val="00B62EF9"/>
    <w:rsid w:val="00B63D52"/>
    <w:rsid w:val="00B6581E"/>
    <w:rsid w:val="00B65CC9"/>
    <w:rsid w:val="00B676A8"/>
    <w:rsid w:val="00B75C5B"/>
    <w:rsid w:val="00B83E60"/>
    <w:rsid w:val="00B855FE"/>
    <w:rsid w:val="00B865D5"/>
    <w:rsid w:val="00B904C0"/>
    <w:rsid w:val="00B92702"/>
    <w:rsid w:val="00B96F67"/>
    <w:rsid w:val="00BA0BAF"/>
    <w:rsid w:val="00BA336C"/>
    <w:rsid w:val="00BA718B"/>
    <w:rsid w:val="00BB0392"/>
    <w:rsid w:val="00BB305A"/>
    <w:rsid w:val="00BB6BD2"/>
    <w:rsid w:val="00BC37B1"/>
    <w:rsid w:val="00BC3BDD"/>
    <w:rsid w:val="00BC51F9"/>
    <w:rsid w:val="00BD1F7F"/>
    <w:rsid w:val="00BD53D7"/>
    <w:rsid w:val="00BE49AC"/>
    <w:rsid w:val="00BE67C0"/>
    <w:rsid w:val="00BE7445"/>
    <w:rsid w:val="00BF0CD4"/>
    <w:rsid w:val="00BF364B"/>
    <w:rsid w:val="00BF59C7"/>
    <w:rsid w:val="00C0247A"/>
    <w:rsid w:val="00C03513"/>
    <w:rsid w:val="00C05C1B"/>
    <w:rsid w:val="00C06A72"/>
    <w:rsid w:val="00C11A6C"/>
    <w:rsid w:val="00C16EE1"/>
    <w:rsid w:val="00C22DA3"/>
    <w:rsid w:val="00C31042"/>
    <w:rsid w:val="00C32EB4"/>
    <w:rsid w:val="00C41E92"/>
    <w:rsid w:val="00C424E3"/>
    <w:rsid w:val="00C46F28"/>
    <w:rsid w:val="00C52E25"/>
    <w:rsid w:val="00C56397"/>
    <w:rsid w:val="00C625BC"/>
    <w:rsid w:val="00C67A69"/>
    <w:rsid w:val="00C67D0D"/>
    <w:rsid w:val="00C70D30"/>
    <w:rsid w:val="00C72DBF"/>
    <w:rsid w:val="00C83D28"/>
    <w:rsid w:val="00C85264"/>
    <w:rsid w:val="00C943AD"/>
    <w:rsid w:val="00C94749"/>
    <w:rsid w:val="00C96837"/>
    <w:rsid w:val="00CA2785"/>
    <w:rsid w:val="00CA2FC1"/>
    <w:rsid w:val="00CA3407"/>
    <w:rsid w:val="00CA3476"/>
    <w:rsid w:val="00CA4050"/>
    <w:rsid w:val="00CA59FD"/>
    <w:rsid w:val="00CA6EA8"/>
    <w:rsid w:val="00CB3966"/>
    <w:rsid w:val="00CB3F71"/>
    <w:rsid w:val="00CB5A7B"/>
    <w:rsid w:val="00CB77E4"/>
    <w:rsid w:val="00CC754C"/>
    <w:rsid w:val="00CD47E8"/>
    <w:rsid w:val="00CD6EA0"/>
    <w:rsid w:val="00CE0364"/>
    <w:rsid w:val="00CE27BE"/>
    <w:rsid w:val="00CE6047"/>
    <w:rsid w:val="00CE65D9"/>
    <w:rsid w:val="00CE6B4C"/>
    <w:rsid w:val="00CF1750"/>
    <w:rsid w:val="00CF26AB"/>
    <w:rsid w:val="00CF2DD4"/>
    <w:rsid w:val="00CF5C4C"/>
    <w:rsid w:val="00CF6133"/>
    <w:rsid w:val="00CF6EBF"/>
    <w:rsid w:val="00CF7E3E"/>
    <w:rsid w:val="00D016FA"/>
    <w:rsid w:val="00D02494"/>
    <w:rsid w:val="00D06817"/>
    <w:rsid w:val="00D15145"/>
    <w:rsid w:val="00D162A4"/>
    <w:rsid w:val="00D20BA2"/>
    <w:rsid w:val="00D21525"/>
    <w:rsid w:val="00D27A00"/>
    <w:rsid w:val="00D3093F"/>
    <w:rsid w:val="00D31025"/>
    <w:rsid w:val="00D31AED"/>
    <w:rsid w:val="00D32395"/>
    <w:rsid w:val="00D36F3B"/>
    <w:rsid w:val="00D435CC"/>
    <w:rsid w:val="00D46F8A"/>
    <w:rsid w:val="00D5207D"/>
    <w:rsid w:val="00D526E1"/>
    <w:rsid w:val="00D7663F"/>
    <w:rsid w:val="00D84559"/>
    <w:rsid w:val="00D85BBF"/>
    <w:rsid w:val="00D9093C"/>
    <w:rsid w:val="00DA0D5B"/>
    <w:rsid w:val="00DA319A"/>
    <w:rsid w:val="00DA4DF7"/>
    <w:rsid w:val="00DA5FEC"/>
    <w:rsid w:val="00DB01F6"/>
    <w:rsid w:val="00DB05E6"/>
    <w:rsid w:val="00DB06ED"/>
    <w:rsid w:val="00DB1442"/>
    <w:rsid w:val="00DB150D"/>
    <w:rsid w:val="00DB1613"/>
    <w:rsid w:val="00DB2950"/>
    <w:rsid w:val="00DB605D"/>
    <w:rsid w:val="00DC1267"/>
    <w:rsid w:val="00DC629A"/>
    <w:rsid w:val="00DD2CA7"/>
    <w:rsid w:val="00DD343C"/>
    <w:rsid w:val="00DE2810"/>
    <w:rsid w:val="00DE7E28"/>
    <w:rsid w:val="00DF11B1"/>
    <w:rsid w:val="00DF337D"/>
    <w:rsid w:val="00E018BD"/>
    <w:rsid w:val="00E02981"/>
    <w:rsid w:val="00E02995"/>
    <w:rsid w:val="00E02CE5"/>
    <w:rsid w:val="00E06988"/>
    <w:rsid w:val="00E07F4C"/>
    <w:rsid w:val="00E10CDE"/>
    <w:rsid w:val="00E179FF"/>
    <w:rsid w:val="00E17B01"/>
    <w:rsid w:val="00E17E3A"/>
    <w:rsid w:val="00E23625"/>
    <w:rsid w:val="00E236ED"/>
    <w:rsid w:val="00E24A50"/>
    <w:rsid w:val="00E308D1"/>
    <w:rsid w:val="00E33233"/>
    <w:rsid w:val="00E34B5B"/>
    <w:rsid w:val="00E367BD"/>
    <w:rsid w:val="00E418F7"/>
    <w:rsid w:val="00E55104"/>
    <w:rsid w:val="00E566E4"/>
    <w:rsid w:val="00E57172"/>
    <w:rsid w:val="00E57A99"/>
    <w:rsid w:val="00E620E0"/>
    <w:rsid w:val="00E67074"/>
    <w:rsid w:val="00E728D3"/>
    <w:rsid w:val="00E737A4"/>
    <w:rsid w:val="00E759B4"/>
    <w:rsid w:val="00E77575"/>
    <w:rsid w:val="00E85656"/>
    <w:rsid w:val="00E86E51"/>
    <w:rsid w:val="00E948BA"/>
    <w:rsid w:val="00E94E96"/>
    <w:rsid w:val="00EA230F"/>
    <w:rsid w:val="00EA3B24"/>
    <w:rsid w:val="00EA3B3B"/>
    <w:rsid w:val="00EA7108"/>
    <w:rsid w:val="00EC2FFA"/>
    <w:rsid w:val="00EC37C7"/>
    <w:rsid w:val="00EC4373"/>
    <w:rsid w:val="00ED1278"/>
    <w:rsid w:val="00ED310E"/>
    <w:rsid w:val="00ED38A9"/>
    <w:rsid w:val="00ED5591"/>
    <w:rsid w:val="00EE0F61"/>
    <w:rsid w:val="00EE6F48"/>
    <w:rsid w:val="00EE7649"/>
    <w:rsid w:val="00EE7962"/>
    <w:rsid w:val="00EF1E6B"/>
    <w:rsid w:val="00EF2032"/>
    <w:rsid w:val="00EF2CDD"/>
    <w:rsid w:val="00EF4A90"/>
    <w:rsid w:val="00EF7849"/>
    <w:rsid w:val="00F01DF4"/>
    <w:rsid w:val="00F10460"/>
    <w:rsid w:val="00F113A2"/>
    <w:rsid w:val="00F14D9D"/>
    <w:rsid w:val="00F21981"/>
    <w:rsid w:val="00F2277D"/>
    <w:rsid w:val="00F22B59"/>
    <w:rsid w:val="00F31BF7"/>
    <w:rsid w:val="00F32A38"/>
    <w:rsid w:val="00F32BA6"/>
    <w:rsid w:val="00F32F47"/>
    <w:rsid w:val="00F4445F"/>
    <w:rsid w:val="00F473A3"/>
    <w:rsid w:val="00F47DDC"/>
    <w:rsid w:val="00F50AE0"/>
    <w:rsid w:val="00F54CE9"/>
    <w:rsid w:val="00F603A3"/>
    <w:rsid w:val="00F6373C"/>
    <w:rsid w:val="00F7374B"/>
    <w:rsid w:val="00F73EBB"/>
    <w:rsid w:val="00F7640E"/>
    <w:rsid w:val="00F76CD4"/>
    <w:rsid w:val="00F76FE0"/>
    <w:rsid w:val="00F82A58"/>
    <w:rsid w:val="00F84703"/>
    <w:rsid w:val="00F85BA9"/>
    <w:rsid w:val="00F86C4E"/>
    <w:rsid w:val="00F90A68"/>
    <w:rsid w:val="00F93686"/>
    <w:rsid w:val="00F94734"/>
    <w:rsid w:val="00FA1BB3"/>
    <w:rsid w:val="00FA6BB0"/>
    <w:rsid w:val="00FA75CA"/>
    <w:rsid w:val="00FB0B6D"/>
    <w:rsid w:val="00FB5AA7"/>
    <w:rsid w:val="00FC429D"/>
    <w:rsid w:val="00FC630D"/>
    <w:rsid w:val="00FD74B3"/>
    <w:rsid w:val="00FD7A63"/>
    <w:rsid w:val="00FE6261"/>
    <w:rsid w:val="00FE67DA"/>
    <w:rsid w:val="00FF51BC"/>
    <w:rsid w:val="00FF5D95"/>
    <w:rsid w:val="00FF6761"/>
    <w:rsid w:val="01223559"/>
    <w:rsid w:val="01462235"/>
    <w:rsid w:val="01F60430"/>
    <w:rsid w:val="021D229B"/>
    <w:rsid w:val="02AD2186"/>
    <w:rsid w:val="02B25C3D"/>
    <w:rsid w:val="02C92162"/>
    <w:rsid w:val="02FA6EF2"/>
    <w:rsid w:val="02FF5E45"/>
    <w:rsid w:val="031C678A"/>
    <w:rsid w:val="0349745F"/>
    <w:rsid w:val="034D1CC8"/>
    <w:rsid w:val="039842CF"/>
    <w:rsid w:val="039B0D7D"/>
    <w:rsid w:val="03F363F6"/>
    <w:rsid w:val="045C354F"/>
    <w:rsid w:val="047E5D41"/>
    <w:rsid w:val="04842AA6"/>
    <w:rsid w:val="04846DD5"/>
    <w:rsid w:val="04B8641E"/>
    <w:rsid w:val="04CA3B18"/>
    <w:rsid w:val="052778F4"/>
    <w:rsid w:val="052F1387"/>
    <w:rsid w:val="05500BDA"/>
    <w:rsid w:val="05DB04A3"/>
    <w:rsid w:val="0604347C"/>
    <w:rsid w:val="062A0934"/>
    <w:rsid w:val="070F4658"/>
    <w:rsid w:val="078D3AFD"/>
    <w:rsid w:val="087F780C"/>
    <w:rsid w:val="088D64EC"/>
    <w:rsid w:val="08BA4CE8"/>
    <w:rsid w:val="090430D9"/>
    <w:rsid w:val="095344A8"/>
    <w:rsid w:val="095B73E3"/>
    <w:rsid w:val="09B47989"/>
    <w:rsid w:val="0A1C108A"/>
    <w:rsid w:val="0A4B1E4A"/>
    <w:rsid w:val="0AE20B0A"/>
    <w:rsid w:val="0B537169"/>
    <w:rsid w:val="0B9250CB"/>
    <w:rsid w:val="0BC83862"/>
    <w:rsid w:val="0C2B1433"/>
    <w:rsid w:val="0C2B6E7C"/>
    <w:rsid w:val="0C442AE4"/>
    <w:rsid w:val="0C4C1587"/>
    <w:rsid w:val="0C6C7336"/>
    <w:rsid w:val="0CFF300B"/>
    <w:rsid w:val="0D037D85"/>
    <w:rsid w:val="0D451801"/>
    <w:rsid w:val="0D606B2F"/>
    <w:rsid w:val="0DA07183"/>
    <w:rsid w:val="0DA87805"/>
    <w:rsid w:val="0DCD5ABB"/>
    <w:rsid w:val="0DD77462"/>
    <w:rsid w:val="0DFF6A61"/>
    <w:rsid w:val="0E144079"/>
    <w:rsid w:val="0E1D25FC"/>
    <w:rsid w:val="0E2A7D0D"/>
    <w:rsid w:val="0E840700"/>
    <w:rsid w:val="0E9E7E22"/>
    <w:rsid w:val="0ED35847"/>
    <w:rsid w:val="0FD06ACB"/>
    <w:rsid w:val="0FFF2388"/>
    <w:rsid w:val="10451C50"/>
    <w:rsid w:val="10464669"/>
    <w:rsid w:val="105A5661"/>
    <w:rsid w:val="10772D2F"/>
    <w:rsid w:val="10A2076A"/>
    <w:rsid w:val="10AC13BA"/>
    <w:rsid w:val="10AF1A20"/>
    <w:rsid w:val="111227A8"/>
    <w:rsid w:val="111B02EE"/>
    <w:rsid w:val="111B1D26"/>
    <w:rsid w:val="11606A2D"/>
    <w:rsid w:val="119E2955"/>
    <w:rsid w:val="11AE540E"/>
    <w:rsid w:val="11BA3663"/>
    <w:rsid w:val="11E2071C"/>
    <w:rsid w:val="122F3B48"/>
    <w:rsid w:val="12473DB3"/>
    <w:rsid w:val="12722EA2"/>
    <w:rsid w:val="12BF30B1"/>
    <w:rsid w:val="12CE5D17"/>
    <w:rsid w:val="12D4449D"/>
    <w:rsid w:val="134A6C68"/>
    <w:rsid w:val="134C0C32"/>
    <w:rsid w:val="13655850"/>
    <w:rsid w:val="13BC3A75"/>
    <w:rsid w:val="14BD5114"/>
    <w:rsid w:val="14DF5D99"/>
    <w:rsid w:val="15085D61"/>
    <w:rsid w:val="154E3E6E"/>
    <w:rsid w:val="1579022B"/>
    <w:rsid w:val="15901D10"/>
    <w:rsid w:val="15A449D3"/>
    <w:rsid w:val="160C6494"/>
    <w:rsid w:val="16921052"/>
    <w:rsid w:val="169567F0"/>
    <w:rsid w:val="171B42F2"/>
    <w:rsid w:val="17306EA1"/>
    <w:rsid w:val="173E6C25"/>
    <w:rsid w:val="17856CA7"/>
    <w:rsid w:val="17A75B29"/>
    <w:rsid w:val="180513B0"/>
    <w:rsid w:val="18134C99"/>
    <w:rsid w:val="18434019"/>
    <w:rsid w:val="185714FE"/>
    <w:rsid w:val="188B3EC6"/>
    <w:rsid w:val="19016AF0"/>
    <w:rsid w:val="19035F1E"/>
    <w:rsid w:val="1924255C"/>
    <w:rsid w:val="19DA53FD"/>
    <w:rsid w:val="19E11D95"/>
    <w:rsid w:val="1A1354BF"/>
    <w:rsid w:val="1A166D8D"/>
    <w:rsid w:val="1A1A19D2"/>
    <w:rsid w:val="1A7B3BAB"/>
    <w:rsid w:val="1B016171"/>
    <w:rsid w:val="1BC86E01"/>
    <w:rsid w:val="1C3926AD"/>
    <w:rsid w:val="1C531AB9"/>
    <w:rsid w:val="1C940F54"/>
    <w:rsid w:val="1C996FE2"/>
    <w:rsid w:val="1D2D5615"/>
    <w:rsid w:val="1D7946FD"/>
    <w:rsid w:val="1DE74786"/>
    <w:rsid w:val="1DEA7E9E"/>
    <w:rsid w:val="1DEE4026"/>
    <w:rsid w:val="1E210611"/>
    <w:rsid w:val="1E361C38"/>
    <w:rsid w:val="1EA27958"/>
    <w:rsid w:val="1EAA2CB1"/>
    <w:rsid w:val="1ECF4EF5"/>
    <w:rsid w:val="1ED649B9"/>
    <w:rsid w:val="1F0C571A"/>
    <w:rsid w:val="1F1D16D5"/>
    <w:rsid w:val="1F2573EA"/>
    <w:rsid w:val="1F4D284C"/>
    <w:rsid w:val="1F501AAA"/>
    <w:rsid w:val="1FAE25F1"/>
    <w:rsid w:val="1FB060A0"/>
    <w:rsid w:val="1FE2463C"/>
    <w:rsid w:val="20324395"/>
    <w:rsid w:val="20FC6855"/>
    <w:rsid w:val="217113DA"/>
    <w:rsid w:val="21844BB5"/>
    <w:rsid w:val="21977500"/>
    <w:rsid w:val="21A67B84"/>
    <w:rsid w:val="21FA6DF4"/>
    <w:rsid w:val="21FC7871"/>
    <w:rsid w:val="2210130D"/>
    <w:rsid w:val="22950817"/>
    <w:rsid w:val="22B8599C"/>
    <w:rsid w:val="22BD491D"/>
    <w:rsid w:val="233562BF"/>
    <w:rsid w:val="23384D2F"/>
    <w:rsid w:val="23464DE4"/>
    <w:rsid w:val="24030E16"/>
    <w:rsid w:val="244A678E"/>
    <w:rsid w:val="249825F1"/>
    <w:rsid w:val="24992D0D"/>
    <w:rsid w:val="24AC023E"/>
    <w:rsid w:val="24CF5954"/>
    <w:rsid w:val="25C14F7B"/>
    <w:rsid w:val="26013B1B"/>
    <w:rsid w:val="261920E3"/>
    <w:rsid w:val="261E1534"/>
    <w:rsid w:val="26B17905"/>
    <w:rsid w:val="26B97F35"/>
    <w:rsid w:val="26D24169"/>
    <w:rsid w:val="27174C5C"/>
    <w:rsid w:val="2741210B"/>
    <w:rsid w:val="27660DD0"/>
    <w:rsid w:val="276A7481"/>
    <w:rsid w:val="277551B2"/>
    <w:rsid w:val="279173E5"/>
    <w:rsid w:val="27F73F78"/>
    <w:rsid w:val="281C0984"/>
    <w:rsid w:val="28744BDA"/>
    <w:rsid w:val="2893480E"/>
    <w:rsid w:val="29223335"/>
    <w:rsid w:val="298F67ED"/>
    <w:rsid w:val="29B03871"/>
    <w:rsid w:val="29E85DEA"/>
    <w:rsid w:val="2A56543D"/>
    <w:rsid w:val="2A737E44"/>
    <w:rsid w:val="2ABB7B25"/>
    <w:rsid w:val="2B547350"/>
    <w:rsid w:val="2B7D771F"/>
    <w:rsid w:val="2C195BCB"/>
    <w:rsid w:val="2C2A7D12"/>
    <w:rsid w:val="2CAD701C"/>
    <w:rsid w:val="2CD33817"/>
    <w:rsid w:val="2D095824"/>
    <w:rsid w:val="2D5672B1"/>
    <w:rsid w:val="2DC51013"/>
    <w:rsid w:val="2DCF44E2"/>
    <w:rsid w:val="2DDE2EA9"/>
    <w:rsid w:val="2E240862"/>
    <w:rsid w:val="2E565B2A"/>
    <w:rsid w:val="2E6812E3"/>
    <w:rsid w:val="2E7C4629"/>
    <w:rsid w:val="2EC64B5C"/>
    <w:rsid w:val="2ED400C3"/>
    <w:rsid w:val="2F9000D8"/>
    <w:rsid w:val="2FBB4D1E"/>
    <w:rsid w:val="303F591A"/>
    <w:rsid w:val="3047087F"/>
    <w:rsid w:val="307318E5"/>
    <w:rsid w:val="3093267C"/>
    <w:rsid w:val="30D52967"/>
    <w:rsid w:val="30F6610E"/>
    <w:rsid w:val="30F7475C"/>
    <w:rsid w:val="310D5422"/>
    <w:rsid w:val="3142692F"/>
    <w:rsid w:val="31541DBA"/>
    <w:rsid w:val="315B627C"/>
    <w:rsid w:val="316A449E"/>
    <w:rsid w:val="31AE1FC7"/>
    <w:rsid w:val="31D22BF9"/>
    <w:rsid w:val="329C4ED3"/>
    <w:rsid w:val="32E65787"/>
    <w:rsid w:val="32F100BD"/>
    <w:rsid w:val="33184235"/>
    <w:rsid w:val="336F02F9"/>
    <w:rsid w:val="33894BCA"/>
    <w:rsid w:val="33B72A4E"/>
    <w:rsid w:val="341A21EB"/>
    <w:rsid w:val="34515C51"/>
    <w:rsid w:val="34747AA0"/>
    <w:rsid w:val="34BD32E6"/>
    <w:rsid w:val="34F16D04"/>
    <w:rsid w:val="35335A0B"/>
    <w:rsid w:val="356674DA"/>
    <w:rsid w:val="35DE09C9"/>
    <w:rsid w:val="36483084"/>
    <w:rsid w:val="366B04D8"/>
    <w:rsid w:val="36B10C29"/>
    <w:rsid w:val="37425D25"/>
    <w:rsid w:val="376408CA"/>
    <w:rsid w:val="37774228"/>
    <w:rsid w:val="382B5A14"/>
    <w:rsid w:val="382D4AFA"/>
    <w:rsid w:val="386332C5"/>
    <w:rsid w:val="387B0309"/>
    <w:rsid w:val="38A62FFD"/>
    <w:rsid w:val="39162FC5"/>
    <w:rsid w:val="3946701A"/>
    <w:rsid w:val="3951617D"/>
    <w:rsid w:val="3965233F"/>
    <w:rsid w:val="397A17A6"/>
    <w:rsid w:val="398805E1"/>
    <w:rsid w:val="399D78C9"/>
    <w:rsid w:val="39B822CE"/>
    <w:rsid w:val="3A0948D8"/>
    <w:rsid w:val="3A3A2CE3"/>
    <w:rsid w:val="3A40479E"/>
    <w:rsid w:val="3A5B2F18"/>
    <w:rsid w:val="3A7206CF"/>
    <w:rsid w:val="3A8C3FB2"/>
    <w:rsid w:val="3AE01BB1"/>
    <w:rsid w:val="3B111C96"/>
    <w:rsid w:val="3B5D3537"/>
    <w:rsid w:val="3B5E12EE"/>
    <w:rsid w:val="3B6A3D00"/>
    <w:rsid w:val="3B6B0611"/>
    <w:rsid w:val="3B8C5F20"/>
    <w:rsid w:val="3BE85021"/>
    <w:rsid w:val="3C23409E"/>
    <w:rsid w:val="3C4B2A92"/>
    <w:rsid w:val="3C8446EA"/>
    <w:rsid w:val="3C907271"/>
    <w:rsid w:val="3CCB2319"/>
    <w:rsid w:val="3DC43669"/>
    <w:rsid w:val="3DD95EA7"/>
    <w:rsid w:val="3E1201FF"/>
    <w:rsid w:val="3E3F2623"/>
    <w:rsid w:val="3ED63CC3"/>
    <w:rsid w:val="3ED74FA5"/>
    <w:rsid w:val="3F5B28AF"/>
    <w:rsid w:val="40766BEC"/>
    <w:rsid w:val="409444EC"/>
    <w:rsid w:val="40BF72D0"/>
    <w:rsid w:val="40D6429F"/>
    <w:rsid w:val="415A7EE6"/>
    <w:rsid w:val="415B3921"/>
    <w:rsid w:val="41761CA7"/>
    <w:rsid w:val="41952DE5"/>
    <w:rsid w:val="41B07342"/>
    <w:rsid w:val="421B005B"/>
    <w:rsid w:val="422A4671"/>
    <w:rsid w:val="42546C78"/>
    <w:rsid w:val="427C32BC"/>
    <w:rsid w:val="42B9463D"/>
    <w:rsid w:val="42C767AD"/>
    <w:rsid w:val="43041BFB"/>
    <w:rsid w:val="43C41AA5"/>
    <w:rsid w:val="44036F11"/>
    <w:rsid w:val="443324D8"/>
    <w:rsid w:val="4442446E"/>
    <w:rsid w:val="44477A39"/>
    <w:rsid w:val="445242F6"/>
    <w:rsid w:val="448462B0"/>
    <w:rsid w:val="44A57C2A"/>
    <w:rsid w:val="44BA514C"/>
    <w:rsid w:val="44DF070A"/>
    <w:rsid w:val="452847AC"/>
    <w:rsid w:val="454B049A"/>
    <w:rsid w:val="456D4695"/>
    <w:rsid w:val="45C51EAA"/>
    <w:rsid w:val="45FA7D68"/>
    <w:rsid w:val="45FB5F58"/>
    <w:rsid w:val="4601706A"/>
    <w:rsid w:val="468B15BF"/>
    <w:rsid w:val="46FF778E"/>
    <w:rsid w:val="47592AC8"/>
    <w:rsid w:val="47C022EA"/>
    <w:rsid w:val="4899611A"/>
    <w:rsid w:val="48BD23D3"/>
    <w:rsid w:val="48CA205A"/>
    <w:rsid w:val="49DC3ED6"/>
    <w:rsid w:val="49EB7B56"/>
    <w:rsid w:val="49F43B22"/>
    <w:rsid w:val="49F4637B"/>
    <w:rsid w:val="49F802CC"/>
    <w:rsid w:val="4A2117CA"/>
    <w:rsid w:val="4AA85A47"/>
    <w:rsid w:val="4AD11442"/>
    <w:rsid w:val="4AF0069C"/>
    <w:rsid w:val="4B6B71A0"/>
    <w:rsid w:val="4C170202"/>
    <w:rsid w:val="4C5D160E"/>
    <w:rsid w:val="4CC27294"/>
    <w:rsid w:val="4CD545C9"/>
    <w:rsid w:val="4D266AF1"/>
    <w:rsid w:val="4D3E079F"/>
    <w:rsid w:val="4D535BB7"/>
    <w:rsid w:val="4D8018F1"/>
    <w:rsid w:val="4D924EB8"/>
    <w:rsid w:val="4DAA338D"/>
    <w:rsid w:val="4DB43481"/>
    <w:rsid w:val="4DFA7D9E"/>
    <w:rsid w:val="4EB64BD7"/>
    <w:rsid w:val="4ECF25E0"/>
    <w:rsid w:val="4EEB7CA9"/>
    <w:rsid w:val="4F684387"/>
    <w:rsid w:val="4FEB01C7"/>
    <w:rsid w:val="500A342C"/>
    <w:rsid w:val="50106568"/>
    <w:rsid w:val="50324731"/>
    <w:rsid w:val="507C775A"/>
    <w:rsid w:val="510065DD"/>
    <w:rsid w:val="512B7CD4"/>
    <w:rsid w:val="514905B5"/>
    <w:rsid w:val="51853F75"/>
    <w:rsid w:val="518B020A"/>
    <w:rsid w:val="51C42211"/>
    <w:rsid w:val="51D341D6"/>
    <w:rsid w:val="51D743B8"/>
    <w:rsid w:val="522A757C"/>
    <w:rsid w:val="52650ECC"/>
    <w:rsid w:val="52724AB1"/>
    <w:rsid w:val="5360246E"/>
    <w:rsid w:val="538C4FF4"/>
    <w:rsid w:val="538D3CAA"/>
    <w:rsid w:val="53AC4C18"/>
    <w:rsid w:val="53D25467"/>
    <w:rsid w:val="545C0256"/>
    <w:rsid w:val="54A92AE8"/>
    <w:rsid w:val="553D1BAE"/>
    <w:rsid w:val="55BC2D3B"/>
    <w:rsid w:val="55D65B5E"/>
    <w:rsid w:val="55D71E8C"/>
    <w:rsid w:val="56580702"/>
    <w:rsid w:val="568E6439"/>
    <w:rsid w:val="56C65BD3"/>
    <w:rsid w:val="56F85B30"/>
    <w:rsid w:val="570F2729"/>
    <w:rsid w:val="573C7BEA"/>
    <w:rsid w:val="57AA6DDA"/>
    <w:rsid w:val="57D9143D"/>
    <w:rsid w:val="584642EB"/>
    <w:rsid w:val="5872170E"/>
    <w:rsid w:val="58B855F4"/>
    <w:rsid w:val="58C33A6C"/>
    <w:rsid w:val="58D30969"/>
    <w:rsid w:val="58D86810"/>
    <w:rsid w:val="59382F53"/>
    <w:rsid w:val="59573775"/>
    <w:rsid w:val="596E05AA"/>
    <w:rsid w:val="597F3659"/>
    <w:rsid w:val="59927FEE"/>
    <w:rsid w:val="59B66E68"/>
    <w:rsid w:val="5A05201A"/>
    <w:rsid w:val="5A0838EA"/>
    <w:rsid w:val="5A096502"/>
    <w:rsid w:val="5A3B68D8"/>
    <w:rsid w:val="5A6B3970"/>
    <w:rsid w:val="5AA3501C"/>
    <w:rsid w:val="5AB165B1"/>
    <w:rsid w:val="5ADE5150"/>
    <w:rsid w:val="5AE85F5F"/>
    <w:rsid w:val="5B0B44FC"/>
    <w:rsid w:val="5B866785"/>
    <w:rsid w:val="5BD7618C"/>
    <w:rsid w:val="5C677ECC"/>
    <w:rsid w:val="5D5A6757"/>
    <w:rsid w:val="5DCD2ABA"/>
    <w:rsid w:val="5F445DE8"/>
    <w:rsid w:val="5FCA04E2"/>
    <w:rsid w:val="5FE80968"/>
    <w:rsid w:val="601A1818"/>
    <w:rsid w:val="606B4658"/>
    <w:rsid w:val="607D5554"/>
    <w:rsid w:val="60D42C45"/>
    <w:rsid w:val="60D57568"/>
    <w:rsid w:val="6129748A"/>
    <w:rsid w:val="616D6DFA"/>
    <w:rsid w:val="617A3172"/>
    <w:rsid w:val="61BA4586"/>
    <w:rsid w:val="62B857F3"/>
    <w:rsid w:val="62F7085A"/>
    <w:rsid w:val="62F94650"/>
    <w:rsid w:val="62FD1DA2"/>
    <w:rsid w:val="63383589"/>
    <w:rsid w:val="63412AAC"/>
    <w:rsid w:val="63AD5074"/>
    <w:rsid w:val="640306F3"/>
    <w:rsid w:val="649675DA"/>
    <w:rsid w:val="64B96A68"/>
    <w:rsid w:val="64C13FD4"/>
    <w:rsid w:val="652137D3"/>
    <w:rsid w:val="65A92B06"/>
    <w:rsid w:val="65E73470"/>
    <w:rsid w:val="66A31F4D"/>
    <w:rsid w:val="66AD03D7"/>
    <w:rsid w:val="66B62A97"/>
    <w:rsid w:val="67063403"/>
    <w:rsid w:val="672256C2"/>
    <w:rsid w:val="67267484"/>
    <w:rsid w:val="67395F4D"/>
    <w:rsid w:val="673D0876"/>
    <w:rsid w:val="6760140E"/>
    <w:rsid w:val="676D4DFE"/>
    <w:rsid w:val="67BB791E"/>
    <w:rsid w:val="67D06633"/>
    <w:rsid w:val="6813581D"/>
    <w:rsid w:val="68246BFD"/>
    <w:rsid w:val="68251524"/>
    <w:rsid w:val="682E5386"/>
    <w:rsid w:val="688651C2"/>
    <w:rsid w:val="68AB6EB0"/>
    <w:rsid w:val="690A5DF3"/>
    <w:rsid w:val="691B6793"/>
    <w:rsid w:val="6980615C"/>
    <w:rsid w:val="6A0C061B"/>
    <w:rsid w:val="6A0F5175"/>
    <w:rsid w:val="6A211CE5"/>
    <w:rsid w:val="6AC33B8D"/>
    <w:rsid w:val="6ADF6E0B"/>
    <w:rsid w:val="6B235906"/>
    <w:rsid w:val="6B6E6157"/>
    <w:rsid w:val="6BE8703F"/>
    <w:rsid w:val="6BF23936"/>
    <w:rsid w:val="6C582A3C"/>
    <w:rsid w:val="6C9B1B05"/>
    <w:rsid w:val="6CA44912"/>
    <w:rsid w:val="6CB32F5C"/>
    <w:rsid w:val="6CBF4278"/>
    <w:rsid w:val="6CC43F5E"/>
    <w:rsid w:val="6CDE55CC"/>
    <w:rsid w:val="6CF525C8"/>
    <w:rsid w:val="6D0B213A"/>
    <w:rsid w:val="6D3C0581"/>
    <w:rsid w:val="6D4D33D8"/>
    <w:rsid w:val="6D5F080C"/>
    <w:rsid w:val="6D763C20"/>
    <w:rsid w:val="6D77372B"/>
    <w:rsid w:val="6E057DB2"/>
    <w:rsid w:val="6E8408DA"/>
    <w:rsid w:val="6EA079C0"/>
    <w:rsid w:val="6EBE032E"/>
    <w:rsid w:val="6ED50C51"/>
    <w:rsid w:val="6EFB5A89"/>
    <w:rsid w:val="6F184CB4"/>
    <w:rsid w:val="6F4B1FB9"/>
    <w:rsid w:val="6F9C0D1A"/>
    <w:rsid w:val="6FB31727"/>
    <w:rsid w:val="6FCD2D4F"/>
    <w:rsid w:val="6FEC1A9E"/>
    <w:rsid w:val="6FF677BA"/>
    <w:rsid w:val="704A2F79"/>
    <w:rsid w:val="705967D3"/>
    <w:rsid w:val="70641B61"/>
    <w:rsid w:val="71253A25"/>
    <w:rsid w:val="713B2A1B"/>
    <w:rsid w:val="715E0962"/>
    <w:rsid w:val="71794B59"/>
    <w:rsid w:val="71855AEF"/>
    <w:rsid w:val="719D47F2"/>
    <w:rsid w:val="71E02949"/>
    <w:rsid w:val="723E0A6C"/>
    <w:rsid w:val="723E572B"/>
    <w:rsid w:val="729329B5"/>
    <w:rsid w:val="72D44160"/>
    <w:rsid w:val="730168D6"/>
    <w:rsid w:val="73867DE4"/>
    <w:rsid w:val="73C86673"/>
    <w:rsid w:val="74CD402D"/>
    <w:rsid w:val="74E21577"/>
    <w:rsid w:val="74E50DAE"/>
    <w:rsid w:val="74EE435D"/>
    <w:rsid w:val="750F227C"/>
    <w:rsid w:val="75322959"/>
    <w:rsid w:val="755D6886"/>
    <w:rsid w:val="75853003"/>
    <w:rsid w:val="75A66F64"/>
    <w:rsid w:val="75D43A11"/>
    <w:rsid w:val="75FF68E7"/>
    <w:rsid w:val="76504DA4"/>
    <w:rsid w:val="765336FE"/>
    <w:rsid w:val="76964A01"/>
    <w:rsid w:val="76B34C0F"/>
    <w:rsid w:val="76F25221"/>
    <w:rsid w:val="770C6B71"/>
    <w:rsid w:val="771A18F7"/>
    <w:rsid w:val="77221320"/>
    <w:rsid w:val="77495AB7"/>
    <w:rsid w:val="77AC6BAC"/>
    <w:rsid w:val="77BB1629"/>
    <w:rsid w:val="78014865"/>
    <w:rsid w:val="78197E01"/>
    <w:rsid w:val="78272F4E"/>
    <w:rsid w:val="78582468"/>
    <w:rsid w:val="78F13F3B"/>
    <w:rsid w:val="78FE0FC6"/>
    <w:rsid w:val="7A35049E"/>
    <w:rsid w:val="7AAC0AB8"/>
    <w:rsid w:val="7AB64072"/>
    <w:rsid w:val="7B05200B"/>
    <w:rsid w:val="7B181CD7"/>
    <w:rsid w:val="7B2335C6"/>
    <w:rsid w:val="7B503065"/>
    <w:rsid w:val="7B79797E"/>
    <w:rsid w:val="7C1A4147"/>
    <w:rsid w:val="7C405474"/>
    <w:rsid w:val="7C6E6004"/>
    <w:rsid w:val="7C80494F"/>
    <w:rsid w:val="7CF107D5"/>
    <w:rsid w:val="7D4639B2"/>
    <w:rsid w:val="7D4F3293"/>
    <w:rsid w:val="7D6E41A0"/>
    <w:rsid w:val="7D782ED3"/>
    <w:rsid w:val="7DA16201"/>
    <w:rsid w:val="7DA41F1A"/>
    <w:rsid w:val="7E0C6A36"/>
    <w:rsid w:val="7E8104AE"/>
    <w:rsid w:val="7F042C4B"/>
    <w:rsid w:val="7F166E48"/>
    <w:rsid w:val="7F3B68AE"/>
    <w:rsid w:val="7F517EBE"/>
    <w:rsid w:val="7F5E434B"/>
    <w:rsid w:val="7F761695"/>
    <w:rsid w:val="7FBF3B8C"/>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641"/>
      <w:jc w:val="both"/>
    </w:pPr>
    <w:rPr>
      <w:rFonts w:ascii="Times New Roman" w:hAnsi="Times New Roman" w:eastAsia="仿宋_GB2312" w:cs="Times New Roman"/>
      <w:kern w:val="2"/>
      <w:sz w:val="32"/>
      <w:szCs w:val="22"/>
      <w:lang w:val="en-US" w:eastAsia="zh-CN" w:bidi="ar-SA"/>
    </w:rPr>
  </w:style>
  <w:style w:type="paragraph" w:styleId="2">
    <w:name w:val="heading 2"/>
    <w:basedOn w:val="1"/>
    <w:next w:val="1"/>
    <w:link w:val="15"/>
    <w:qFormat/>
    <w:uiPriority w:val="99"/>
    <w:pPr>
      <w:widowControl/>
      <w:spacing w:before="200" w:line="271" w:lineRule="auto"/>
      <w:jc w:val="left"/>
      <w:outlineLvl w:val="1"/>
    </w:pPr>
    <w:rPr>
      <w:rFonts w:ascii="Cambria" w:hAnsi="Cambria"/>
      <w:smallCaps/>
      <w:kern w:val="0"/>
      <w:sz w:val="28"/>
      <w:szCs w:val="28"/>
      <w:lang w:eastAsia="en-US"/>
    </w:rPr>
  </w:style>
  <w:style w:type="paragraph" w:styleId="3">
    <w:name w:val="heading 3"/>
    <w:basedOn w:val="1"/>
    <w:next w:val="1"/>
    <w:link w:val="27"/>
    <w:semiHidden/>
    <w:unhideWhenUsed/>
    <w:qFormat/>
    <w:locked/>
    <w:uiPriority w:val="0"/>
    <w:pPr>
      <w:keepNext/>
      <w:keepLines/>
      <w:spacing w:before="260" w:after="260" w:line="416" w:lineRule="atLeast"/>
      <w:outlineLvl w:val="2"/>
    </w:pPr>
    <w:rPr>
      <w:b/>
      <w:bCs/>
      <w:szCs w:val="32"/>
    </w:rPr>
  </w:style>
  <w:style w:type="paragraph" w:styleId="4">
    <w:name w:val="heading 6"/>
    <w:basedOn w:val="1"/>
    <w:next w:val="1"/>
    <w:link w:val="16"/>
    <w:qFormat/>
    <w:uiPriority w:val="99"/>
    <w:pPr>
      <w:keepNext/>
      <w:keepLines/>
      <w:spacing w:before="240" w:after="64" w:line="320" w:lineRule="auto"/>
      <w:outlineLvl w:val="5"/>
    </w:pPr>
    <w:rPr>
      <w:rFonts w:ascii="Cambria" w:hAnsi="Cambria"/>
      <w:b/>
      <w:bCs/>
      <w:sz w:val="24"/>
      <w:szCs w:val="24"/>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26"/>
    <w:semiHidden/>
    <w:unhideWhenUsed/>
    <w:qFormat/>
    <w:uiPriority w:val="99"/>
    <w:pPr>
      <w:spacing w:line="240" w:lineRule="auto"/>
    </w:pPr>
    <w:rPr>
      <w:sz w:val="18"/>
      <w:szCs w:val="18"/>
    </w:rPr>
  </w:style>
  <w:style w:type="paragraph" w:styleId="7">
    <w:name w:val="footer"/>
    <w:basedOn w:val="1"/>
    <w:link w:val="25"/>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Subtitle"/>
    <w:basedOn w:val="1"/>
    <w:next w:val="1"/>
    <w:link w:val="28"/>
    <w:qFormat/>
    <w:locked/>
    <w:uiPriority w:val="0"/>
    <w:pPr>
      <w:spacing w:before="240" w:after="60" w:line="312" w:lineRule="auto"/>
      <w:jc w:val="center"/>
      <w:outlineLvl w:val="1"/>
    </w:pPr>
    <w:rPr>
      <w:rFonts w:ascii="Cambria" w:hAnsi="Cambria"/>
      <w:b/>
      <w:bCs/>
      <w:kern w:val="28"/>
      <w:szCs w:val="32"/>
    </w:rPr>
  </w:style>
  <w:style w:type="paragraph" w:styleId="10">
    <w:name w:val="Normal (Web)"/>
    <w:basedOn w:val="1"/>
    <w:semiHidden/>
    <w:unhideWhenUsed/>
    <w:qFormat/>
    <w:uiPriority w:val="99"/>
    <w:pPr>
      <w:spacing w:line="240" w:lineRule="auto"/>
      <w:ind w:firstLine="0"/>
    </w:pPr>
    <w:rPr>
      <w:sz w:val="24"/>
      <w:szCs w:val="24"/>
    </w:rPr>
  </w:style>
  <w:style w:type="table" w:styleId="12">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Strong"/>
    <w:basedOn w:val="13"/>
    <w:autoRedefine/>
    <w:qFormat/>
    <w:locked/>
    <w:uiPriority w:val="0"/>
    <w:rPr>
      <w:b/>
    </w:rPr>
  </w:style>
  <w:style w:type="character" w:customStyle="1" w:styleId="15">
    <w:name w:val="标题 2 Char"/>
    <w:basedOn w:val="13"/>
    <w:link w:val="2"/>
    <w:qFormat/>
    <w:uiPriority w:val="99"/>
    <w:rPr>
      <w:rFonts w:ascii="Cambria" w:hAnsi="Cambria" w:eastAsia="宋体" w:cs="Times New Roman"/>
      <w:smallCaps/>
      <w:kern w:val="0"/>
      <w:sz w:val="28"/>
      <w:szCs w:val="28"/>
      <w:lang w:eastAsia="en-US"/>
    </w:rPr>
  </w:style>
  <w:style w:type="character" w:customStyle="1" w:styleId="16">
    <w:name w:val="标题 6 Char"/>
    <w:basedOn w:val="13"/>
    <w:link w:val="4"/>
    <w:qFormat/>
    <w:uiPriority w:val="99"/>
    <w:rPr>
      <w:rFonts w:ascii="Cambria" w:hAnsi="Cambria" w:eastAsia="宋体" w:cs="Times New Roman"/>
      <w:b/>
      <w:bCs/>
      <w:sz w:val="24"/>
      <w:szCs w:val="24"/>
    </w:rPr>
  </w:style>
  <w:style w:type="paragraph" w:styleId="17">
    <w:name w:val="List Paragraph"/>
    <w:basedOn w:val="1"/>
    <w:qFormat/>
    <w:uiPriority w:val="34"/>
    <w:pPr>
      <w:ind w:firstLine="420"/>
    </w:pPr>
  </w:style>
  <w:style w:type="paragraph" w:customStyle="1" w:styleId="18">
    <w:name w:val="三级标题"/>
    <w:basedOn w:val="1"/>
    <w:link w:val="19"/>
    <w:qFormat/>
    <w:uiPriority w:val="0"/>
    <w:pPr>
      <w:spacing w:beforeLines="500" w:afterLines="150"/>
    </w:pPr>
    <w:rPr>
      <w:rFonts w:ascii="方正小标宋简体" w:eastAsia="方正小标宋简体"/>
      <w:sz w:val="36"/>
      <w:szCs w:val="36"/>
    </w:rPr>
  </w:style>
  <w:style w:type="character" w:customStyle="1" w:styleId="19">
    <w:name w:val="三级标题 Char"/>
    <w:basedOn w:val="13"/>
    <w:link w:val="18"/>
    <w:qFormat/>
    <w:uiPriority w:val="0"/>
    <w:rPr>
      <w:rFonts w:ascii="方正小标宋简体" w:eastAsia="方正小标宋简体"/>
      <w:kern w:val="2"/>
      <w:sz w:val="36"/>
      <w:szCs w:val="36"/>
    </w:rPr>
  </w:style>
  <w:style w:type="paragraph" w:customStyle="1" w:styleId="20">
    <w:name w:val="四级标题"/>
    <w:basedOn w:val="1"/>
    <w:link w:val="21"/>
    <w:qFormat/>
    <w:uiPriority w:val="0"/>
    <w:pPr>
      <w:ind w:firstLine="480"/>
    </w:pPr>
    <w:rPr>
      <w:rFonts w:ascii="黑体" w:eastAsia="黑体"/>
      <w:sz w:val="24"/>
      <w:szCs w:val="24"/>
    </w:rPr>
  </w:style>
  <w:style w:type="character" w:customStyle="1" w:styleId="21">
    <w:name w:val="四级标题 Char"/>
    <w:basedOn w:val="13"/>
    <w:link w:val="20"/>
    <w:qFormat/>
    <w:uiPriority w:val="0"/>
    <w:rPr>
      <w:rFonts w:ascii="黑体" w:eastAsia="黑体"/>
      <w:sz w:val="24"/>
      <w:szCs w:val="24"/>
    </w:rPr>
  </w:style>
  <w:style w:type="paragraph" w:customStyle="1" w:styleId="22">
    <w:name w:val="标题四"/>
    <w:basedOn w:val="20"/>
    <w:link w:val="23"/>
    <w:qFormat/>
    <w:uiPriority w:val="0"/>
  </w:style>
  <w:style w:type="character" w:customStyle="1" w:styleId="23">
    <w:name w:val="标题四 Char"/>
    <w:basedOn w:val="21"/>
    <w:link w:val="22"/>
    <w:qFormat/>
    <w:uiPriority w:val="0"/>
    <w:rPr>
      <w:rFonts w:ascii="黑体" w:eastAsia="黑体"/>
      <w:sz w:val="24"/>
      <w:szCs w:val="24"/>
    </w:rPr>
  </w:style>
  <w:style w:type="character" w:customStyle="1" w:styleId="24">
    <w:name w:val="页眉 Char"/>
    <w:basedOn w:val="13"/>
    <w:link w:val="8"/>
    <w:qFormat/>
    <w:uiPriority w:val="99"/>
    <w:rPr>
      <w:sz w:val="18"/>
      <w:szCs w:val="18"/>
    </w:rPr>
  </w:style>
  <w:style w:type="character" w:customStyle="1" w:styleId="25">
    <w:name w:val="页脚 Char"/>
    <w:basedOn w:val="13"/>
    <w:link w:val="7"/>
    <w:qFormat/>
    <w:uiPriority w:val="99"/>
    <w:rPr>
      <w:sz w:val="18"/>
      <w:szCs w:val="18"/>
    </w:rPr>
  </w:style>
  <w:style w:type="character" w:customStyle="1" w:styleId="26">
    <w:name w:val="批注框文本 Char"/>
    <w:basedOn w:val="13"/>
    <w:link w:val="6"/>
    <w:semiHidden/>
    <w:qFormat/>
    <w:uiPriority w:val="99"/>
    <w:rPr>
      <w:rFonts w:ascii="Times New Roman" w:hAnsi="Times New Roman" w:eastAsia="仿宋_GB2312"/>
      <w:sz w:val="18"/>
      <w:szCs w:val="18"/>
    </w:rPr>
  </w:style>
  <w:style w:type="character" w:customStyle="1" w:styleId="27">
    <w:name w:val="标题 3 Char"/>
    <w:basedOn w:val="13"/>
    <w:link w:val="3"/>
    <w:semiHidden/>
    <w:qFormat/>
    <w:uiPriority w:val="0"/>
    <w:rPr>
      <w:rFonts w:ascii="Times New Roman" w:hAnsi="Times New Roman" w:eastAsia="仿宋_GB2312" w:cs="Times New Roman"/>
      <w:b/>
      <w:bCs/>
      <w:kern w:val="2"/>
      <w:sz w:val="32"/>
      <w:szCs w:val="32"/>
    </w:rPr>
  </w:style>
  <w:style w:type="character" w:customStyle="1" w:styleId="28">
    <w:name w:val="副标题 Char"/>
    <w:basedOn w:val="13"/>
    <w:link w:val="9"/>
    <w:qFormat/>
    <w:uiPriority w:val="0"/>
    <w:rPr>
      <w:rFonts w:ascii="Cambria" w:hAnsi="Cambria" w:eastAsia="仿宋_GB2312" w:cs="Times New Roman"/>
      <w:b/>
      <w:bCs/>
      <w:kern w:val="28"/>
      <w:sz w:val="32"/>
      <w:szCs w:val="32"/>
    </w:rPr>
  </w:style>
  <w:style w:type="paragraph" w:customStyle="1" w:styleId="29">
    <w:name w:val="表格文字"/>
    <w:basedOn w:val="1"/>
    <w:autoRedefine/>
    <w:qFormat/>
    <w:uiPriority w:val="0"/>
    <w:pPr>
      <w:autoSpaceDE/>
      <w:autoSpaceDN/>
      <w:adjustRightInd/>
      <w:snapToGrid w:val="0"/>
      <w:spacing w:before="25" w:after="25"/>
    </w:pPr>
    <w:rPr>
      <w:rFonts w:ascii="Calibri" w:hAnsi="Calibri" w:eastAsia="Calibri" w:cs="Times New Roman"/>
      <w:bCs/>
      <w:spacing w:val="1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8</Pages>
  <Words>3104</Words>
  <Characters>3237</Characters>
  <Lines>22</Lines>
  <Paragraphs>6</Paragraphs>
  <TotalTime>0</TotalTime>
  <ScaleCrop>false</ScaleCrop>
  <LinksUpToDate>false</LinksUpToDate>
  <CharactersWithSpaces>3250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2024-05-16T01:33:00Z</dcterms:created>
  <dc:creator>Sky123.Org</dc:creator>
  <cp:lastModifiedBy>CM</cp:lastModifiedBy>
  <cp:lastPrinted>2025-10-27T10:12:00Z</cp:lastPrinted>
  <dcterms:modified xsi:type="dcterms:W3CDTF">2026-02-27T01:32:25Z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482FD97DD5164790913D72B570BC118D_13</vt:lpwstr>
  </property>
  <property fmtid="{D5CDD505-2E9C-101B-9397-08002B2CF9AE}" pid="4" name="KSOTemplateDocerSaveRecord">
    <vt:lpwstr>eyJoZGlkIjoiNjg0NzQ0NmNmYjlhYmM0NDBmZTg1MDM0MTljOTVkODIiLCJ1c2VySWQiOiI5Nzc1Mzc4NzAifQ==</vt:lpwstr>
  </property>
</Properties>
</file>