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1252">
      <w:pPr>
        <w:ind w:firstLine="0"/>
        <w:rPr>
          <w:rFonts w:ascii="仿宋_GB2312" w:hAnsi="仿宋_GB2312" w:cs="仿宋_GB2312"/>
          <w:b/>
          <w:bCs/>
        </w:rPr>
      </w:pPr>
      <w:r>
        <w:rPr>
          <w:rFonts w:hint="eastAsia"/>
          <w:b/>
          <w:bCs/>
        </w:rPr>
        <w:t>附件</w:t>
      </w:r>
      <w:r>
        <w:rPr>
          <w:rFonts w:hint="eastAsia" w:ascii="仿宋_GB2312" w:hAnsi="仿宋_GB2312" w:cs="仿宋_GB2312"/>
          <w:b/>
          <w:bCs/>
        </w:rPr>
        <w:t>：</w:t>
      </w:r>
    </w:p>
    <w:p w14:paraId="442D59A1">
      <w:pPr>
        <w:pStyle w:val="4"/>
        <w:ind w:firstLine="0"/>
        <w:jc w:val="center"/>
        <w:rPr>
          <w:rFonts w:hint="eastAsia" w:ascii="方正小标宋简体" w:eastAsia="方正小标宋简体"/>
          <w:sz w:val="44"/>
          <w:szCs w:val="44"/>
        </w:rPr>
      </w:pPr>
      <w:r>
        <w:rPr>
          <w:rFonts w:hint="eastAsia" w:ascii="方正小标宋简体" w:eastAsia="方正小标宋简体"/>
          <w:sz w:val="44"/>
          <w:szCs w:val="44"/>
        </w:rPr>
        <w:t>全自动血栓弹力图仪参数配置要求</w:t>
      </w:r>
    </w:p>
    <w:p w14:paraId="37377A47">
      <w:pPr>
        <w:ind w:firstLine="654" w:firstLineChars="200"/>
        <w:rPr>
          <w:rFonts w:ascii="黑体" w:hAnsi="黑体" w:eastAsia="黑体" w:cs="仿宋_GB2312"/>
          <w:b/>
          <w:bCs/>
          <w:szCs w:val="32"/>
        </w:rPr>
      </w:pPr>
      <w:r>
        <w:rPr>
          <w:rFonts w:hint="eastAsia" w:ascii="黑体" w:hAnsi="黑体" w:eastAsia="黑体" w:cs="仿宋_GB2312"/>
          <w:b/>
          <w:bCs/>
          <w:szCs w:val="32"/>
        </w:rPr>
        <w:t>一、项目总体要求</w:t>
      </w:r>
    </w:p>
    <w:p w14:paraId="52CB2C3C">
      <w:pPr>
        <w:pStyle w:val="4"/>
        <w:ind w:firstLine="654" w:firstLineChars="200"/>
        <w:rPr>
          <w:rFonts w:ascii="仿宋_GB2312" w:hAnsi="仿宋_GB2312" w:cs="仿宋_GB2312"/>
          <w:b w:val="0"/>
          <w:bCs w:val="0"/>
        </w:rPr>
      </w:pPr>
      <w:r>
        <w:rPr>
          <w:rFonts w:hint="eastAsia" w:ascii="仿宋_GB2312" w:hAnsi="仿宋_GB2312" w:cs="仿宋_GB2312"/>
          <w:b w:val="0"/>
          <w:bCs w:val="0"/>
        </w:rPr>
        <w:t>★所投产品具有有效的医疗器械注册证明。项目所需的全部试剂与耗材（依据相关法规不属于医疗器械管理的除外），均应获得国家药品监督管理局颁发的相应注册证明，且须纳入广东省医疗保障局规定的国家医疗保障信息平台药品和医用耗材招标采购管理子系统（以下简称新招采子系统）目录范围。上述各项均须符合《医疗器械分类目录》及相关法律法规的规定。（需提供佐证材料：医疗器械注册证、不作医疗器械管理证明[体现国食药监械文件号文件或官方出具的分类界定告知书]、不作为医疗器械管理的产品图片[能够看清产品名称、规格型号、生产厂家等关键信息]、新招采子系统截图、医疗器械分类的相关证明）</w:t>
      </w:r>
    </w:p>
    <w:p w14:paraId="2654E98E">
      <w:pPr>
        <w:pStyle w:val="4"/>
        <w:ind w:firstLine="654" w:firstLineChars="200"/>
        <w:rPr>
          <w:rFonts w:ascii="仿宋_GB2312" w:hAnsi="仿宋_GB2312" w:cs="仿宋_GB2312"/>
          <w:bCs w:val="0"/>
        </w:rPr>
      </w:pPr>
      <w:r>
        <w:rPr>
          <w:rFonts w:hint="eastAsia" w:ascii="黑体" w:hAnsi="黑体" w:eastAsia="黑体" w:cs="仿宋_GB2312"/>
          <w:bCs w:val="0"/>
        </w:rPr>
        <w:t>二、</w:t>
      </w:r>
      <w:r>
        <w:rPr>
          <w:rFonts w:hint="eastAsia" w:ascii="黑体" w:hAnsi="黑体" w:eastAsia="黑体" w:cs="仿宋_GB2312"/>
        </w:rPr>
        <w:t>技术参数要求</w:t>
      </w:r>
    </w:p>
    <w:p w14:paraId="014810BA">
      <w:pPr>
        <w:spacing w:line="416" w:lineRule="atLeast"/>
        <w:ind w:firstLine="327" w:firstLineChars="100"/>
        <w:jc w:val="left"/>
        <w:rPr>
          <w:rFonts w:ascii="仿宋_GB2312"/>
          <w:szCs w:val="32"/>
        </w:rPr>
      </w:pPr>
      <w:r>
        <w:rPr>
          <w:rFonts w:hint="eastAsia" w:ascii="仿宋" w:hAnsi="仿宋" w:eastAsia="仿宋" w:cs="仿宋"/>
          <w:szCs w:val="32"/>
        </w:rPr>
        <w:t>▲</w:t>
      </w:r>
      <w:r>
        <w:rPr>
          <w:rFonts w:hint="eastAsia" w:ascii="仿宋_GB2312"/>
          <w:szCs w:val="32"/>
        </w:rPr>
        <w:t>1.检测项目：</w:t>
      </w:r>
      <w:r>
        <w:rPr>
          <w:rFonts w:ascii="仿宋_GB2312"/>
          <w:szCs w:val="32"/>
        </w:rPr>
        <w:t>具有</w:t>
      </w:r>
      <w:r>
        <w:rPr>
          <w:rFonts w:hint="eastAsia" w:ascii="仿宋_GB2312"/>
          <w:szCs w:val="32"/>
        </w:rPr>
        <w:t>血栓弹力图活化凝血检测、AA、ADP、AA&amp;ADP</w:t>
      </w:r>
      <w:r>
        <w:rPr>
          <w:rFonts w:ascii="仿宋_GB2312"/>
          <w:szCs w:val="32"/>
        </w:rPr>
        <w:t>等检测项目。</w:t>
      </w:r>
    </w:p>
    <w:p w14:paraId="154ABE7A">
      <w:pPr>
        <w:spacing w:line="416" w:lineRule="atLeast"/>
        <w:ind w:firstLine="327" w:firstLineChars="100"/>
        <w:jc w:val="left"/>
        <w:rPr>
          <w:rFonts w:ascii="仿宋_GB2312"/>
          <w:szCs w:val="32"/>
        </w:rPr>
      </w:pPr>
      <w:r>
        <w:rPr>
          <w:rFonts w:hint="eastAsia" w:ascii="仿宋" w:hAnsi="仿宋" w:eastAsia="仿宋" w:cs="仿宋"/>
          <w:szCs w:val="32"/>
        </w:rPr>
        <w:t>▲</w:t>
      </w:r>
      <w:r>
        <w:rPr>
          <w:rFonts w:hint="eastAsia" w:ascii="仿宋_GB2312"/>
          <w:szCs w:val="32"/>
        </w:rPr>
        <w:t>2.检测速度：具有≥8个独立的检测通道，检测速度≥16个/h。</w:t>
      </w:r>
    </w:p>
    <w:p w14:paraId="159BC6EE">
      <w:pPr>
        <w:spacing w:line="416" w:lineRule="atLeast"/>
        <w:ind w:firstLine="327" w:firstLineChars="100"/>
        <w:jc w:val="left"/>
        <w:rPr>
          <w:rFonts w:ascii="仿宋_GB2312"/>
          <w:szCs w:val="32"/>
        </w:rPr>
      </w:pPr>
      <w:r>
        <w:rPr>
          <w:rFonts w:hint="eastAsia" w:ascii="仿宋" w:hAnsi="仿宋" w:eastAsia="仿宋" w:cs="仿宋"/>
          <w:szCs w:val="32"/>
        </w:rPr>
        <w:t>▲</w:t>
      </w:r>
      <w:r>
        <w:rPr>
          <w:rFonts w:hint="eastAsia" w:ascii="仿宋_GB2312"/>
          <w:szCs w:val="32"/>
        </w:rPr>
        <w:t>3.加样量：≤0.4ml。</w:t>
      </w:r>
    </w:p>
    <w:p w14:paraId="255D09F9">
      <w:pPr>
        <w:spacing w:line="416" w:lineRule="atLeast"/>
        <w:ind w:firstLine="327" w:firstLineChars="100"/>
        <w:jc w:val="left"/>
        <w:rPr>
          <w:rFonts w:ascii="仿宋_GB2312"/>
          <w:szCs w:val="32"/>
        </w:rPr>
      </w:pPr>
      <w:r>
        <w:rPr>
          <w:rFonts w:hint="eastAsia" w:ascii="仿宋" w:hAnsi="仿宋" w:eastAsia="仿宋" w:cs="仿宋"/>
          <w:szCs w:val="32"/>
        </w:rPr>
        <w:t>▲</w:t>
      </w:r>
      <w:r>
        <w:rPr>
          <w:rFonts w:hint="eastAsia" w:ascii="仿宋_GB2312"/>
          <w:szCs w:val="32"/>
        </w:rPr>
        <w:t>4.R（凝血因子功能检测）：结果变异系数CV≤8%；MA、Angle：结果变异系数CV≤6%。</w:t>
      </w:r>
    </w:p>
    <w:p w14:paraId="4127241E">
      <w:pPr>
        <w:spacing w:line="416" w:lineRule="atLeast"/>
        <w:ind w:firstLine="654" w:firstLineChars="200"/>
        <w:jc w:val="left"/>
        <w:rPr>
          <w:rFonts w:ascii="仿宋_GB2312"/>
          <w:szCs w:val="32"/>
        </w:rPr>
      </w:pPr>
      <w:r>
        <w:rPr>
          <w:rFonts w:hint="eastAsia" w:ascii="仿宋_GB2312"/>
          <w:szCs w:val="32"/>
        </w:rPr>
        <w:t>5.支持闭盖穿刺，具备样本孵育功能。</w:t>
      </w:r>
    </w:p>
    <w:p w14:paraId="5C195D4C">
      <w:pPr>
        <w:spacing w:line="416" w:lineRule="atLeast"/>
        <w:ind w:firstLine="654" w:firstLineChars="200"/>
        <w:jc w:val="left"/>
        <w:rPr>
          <w:rFonts w:ascii="仿宋_GB2312"/>
          <w:szCs w:val="32"/>
        </w:rPr>
      </w:pPr>
      <w:r>
        <w:rPr>
          <w:rFonts w:hint="eastAsia" w:ascii="仿宋_GB2312"/>
          <w:szCs w:val="32"/>
        </w:rPr>
        <w:t>6.具有全自动检测功能：智能</w:t>
      </w:r>
      <w:r>
        <w:rPr>
          <w:rFonts w:ascii="仿宋_GB2312"/>
          <w:szCs w:val="32"/>
        </w:rPr>
        <w:t>扫码，</w:t>
      </w:r>
      <w:r>
        <w:rPr>
          <w:rFonts w:hint="eastAsia" w:ascii="仿宋_GB2312"/>
          <w:szCs w:val="32"/>
        </w:rPr>
        <w:t>能</w:t>
      </w:r>
      <w:r>
        <w:rPr>
          <w:rFonts w:ascii="仿宋_GB2312"/>
          <w:szCs w:val="32"/>
        </w:rPr>
        <w:t>自动</w:t>
      </w:r>
      <w:r>
        <w:rPr>
          <w:rFonts w:hint="eastAsia" w:ascii="仿宋_GB2312"/>
          <w:szCs w:val="32"/>
        </w:rPr>
        <w:t>进样，自动</w:t>
      </w:r>
      <w:r>
        <w:rPr>
          <w:rFonts w:ascii="仿宋_GB2312"/>
          <w:szCs w:val="32"/>
        </w:rPr>
        <w:t>摇匀，</w:t>
      </w:r>
      <w:r>
        <w:rPr>
          <w:rFonts w:hint="eastAsia" w:ascii="仿宋_GB2312"/>
          <w:szCs w:val="32"/>
        </w:rPr>
        <w:t>自动</w:t>
      </w:r>
      <w:r>
        <w:rPr>
          <w:rFonts w:ascii="仿宋_GB2312"/>
          <w:szCs w:val="32"/>
        </w:rPr>
        <w:t>孵育</w:t>
      </w:r>
      <w:r>
        <w:rPr>
          <w:rFonts w:hint="eastAsia" w:ascii="仿宋_GB2312"/>
          <w:szCs w:val="32"/>
        </w:rPr>
        <w:t>。</w:t>
      </w:r>
    </w:p>
    <w:p w14:paraId="1CD5E263">
      <w:pPr>
        <w:spacing w:line="416" w:lineRule="atLeast"/>
        <w:ind w:firstLine="654" w:firstLineChars="200"/>
        <w:jc w:val="left"/>
        <w:rPr>
          <w:rFonts w:ascii="仿宋_GB2312"/>
          <w:szCs w:val="32"/>
        </w:rPr>
      </w:pPr>
      <w:r>
        <w:rPr>
          <w:rFonts w:hint="eastAsia" w:ascii="仿宋_GB2312"/>
          <w:szCs w:val="32"/>
        </w:rPr>
        <w:t>7.温度稳定：37℃±0.5℃。</w:t>
      </w:r>
    </w:p>
    <w:p w14:paraId="6F9019FF">
      <w:pPr>
        <w:spacing w:line="416" w:lineRule="atLeast"/>
        <w:ind w:firstLine="654" w:firstLineChars="200"/>
        <w:jc w:val="left"/>
        <w:rPr>
          <w:rFonts w:ascii="仿宋_GB2312"/>
          <w:szCs w:val="32"/>
        </w:rPr>
      </w:pPr>
      <w:r>
        <w:rPr>
          <w:rFonts w:hint="eastAsia" w:ascii="仿宋_GB2312"/>
          <w:szCs w:val="32"/>
        </w:rPr>
        <w:t>8.具有急诊样本检测通道。</w:t>
      </w:r>
    </w:p>
    <w:p w14:paraId="728C7012">
      <w:pPr>
        <w:spacing w:line="416" w:lineRule="atLeast"/>
        <w:ind w:firstLine="654" w:firstLineChars="200"/>
        <w:jc w:val="left"/>
        <w:rPr>
          <w:rFonts w:ascii="仿宋_GB2312"/>
          <w:szCs w:val="32"/>
        </w:rPr>
      </w:pPr>
      <w:r>
        <w:rPr>
          <w:rFonts w:hint="eastAsia" w:ascii="仿宋_GB2312"/>
          <w:szCs w:val="32"/>
        </w:rPr>
        <w:t>9.试剂位（实际检测样本的试剂量）≥90个；样本位≥30个。</w:t>
      </w:r>
    </w:p>
    <w:p w14:paraId="418302D9">
      <w:pPr>
        <w:spacing w:line="416" w:lineRule="atLeast"/>
        <w:ind w:firstLine="654" w:firstLineChars="200"/>
        <w:jc w:val="left"/>
        <w:rPr>
          <w:rFonts w:ascii="仿宋_GB2312"/>
          <w:szCs w:val="32"/>
        </w:rPr>
      </w:pPr>
      <w:r>
        <w:rPr>
          <w:rFonts w:hint="eastAsia" w:ascii="仿宋_GB2312"/>
          <w:szCs w:val="32"/>
        </w:rPr>
        <w:t>10.后期可升级：后期可软件升级或可接入流水线，费用包含在投标报价中。</w:t>
      </w:r>
    </w:p>
    <w:p w14:paraId="2BC58968">
      <w:pPr>
        <w:spacing w:line="416" w:lineRule="atLeast"/>
        <w:ind w:firstLine="654" w:firstLineChars="200"/>
        <w:jc w:val="left"/>
        <w:rPr>
          <w:rFonts w:ascii="仿宋_GB2312"/>
          <w:szCs w:val="32"/>
        </w:rPr>
      </w:pPr>
      <w:r>
        <w:rPr>
          <w:rFonts w:hint="eastAsia" w:ascii="仿宋_GB2312"/>
          <w:szCs w:val="32"/>
        </w:rPr>
        <w:t>11.生物安全性：具有消毒功能。</w:t>
      </w:r>
    </w:p>
    <w:p w14:paraId="51D4A9EB">
      <w:pPr>
        <w:spacing w:line="416" w:lineRule="atLeast"/>
        <w:ind w:firstLine="654" w:firstLineChars="200"/>
        <w:jc w:val="left"/>
        <w:rPr>
          <w:rFonts w:ascii="仿宋" w:hAnsi="仿宋" w:eastAsia="仿宋" w:cs="仿宋"/>
          <w:szCs w:val="32"/>
        </w:rPr>
      </w:pPr>
      <w:r>
        <w:rPr>
          <w:rFonts w:hint="eastAsia" w:ascii="仿宋" w:hAnsi="仿宋" w:eastAsia="仿宋" w:cs="仿宋"/>
          <w:szCs w:val="32"/>
        </w:rPr>
        <w:t>12.仪器故障即时响应（含远程指导）。</w:t>
      </w:r>
    </w:p>
    <w:p w14:paraId="2CBB3260">
      <w:pPr>
        <w:spacing w:line="416" w:lineRule="atLeast"/>
        <w:ind w:firstLine="327" w:firstLineChars="100"/>
        <w:jc w:val="left"/>
        <w:rPr>
          <w:rFonts w:ascii="仿宋" w:hAnsi="仿宋" w:eastAsia="仿宋" w:cs="仿宋"/>
          <w:szCs w:val="32"/>
        </w:rPr>
      </w:pPr>
      <w:r>
        <w:rPr>
          <w:rFonts w:hint="eastAsia" w:ascii="仿宋" w:hAnsi="仿宋" w:eastAsia="仿宋" w:cs="仿宋"/>
          <w:szCs w:val="32"/>
        </w:rPr>
        <w:t>★</w:t>
      </w:r>
      <w:r>
        <w:rPr>
          <w:rFonts w:hint="eastAsia" w:ascii="仿宋_GB2312"/>
          <w:szCs w:val="32"/>
        </w:rPr>
        <w:t>13.实现LIS双向通讯，提供使用LIS双向传输功能，费用包含在投标报价中。</w:t>
      </w:r>
    </w:p>
    <w:p w14:paraId="2C9A0D77">
      <w:pPr>
        <w:spacing w:line="416" w:lineRule="atLeast"/>
        <w:ind w:firstLine="327" w:firstLineChars="100"/>
        <w:jc w:val="left"/>
        <w:rPr>
          <w:rFonts w:ascii="仿宋" w:hAnsi="仿宋" w:eastAsia="仿宋" w:cs="仿宋"/>
          <w:szCs w:val="32"/>
        </w:rPr>
      </w:pPr>
      <w:r>
        <w:rPr>
          <w:rFonts w:hint="eastAsia" w:ascii="仿宋" w:hAnsi="仿宋" w:eastAsia="仿宋" w:cs="仿宋"/>
          <w:szCs w:val="32"/>
        </w:rPr>
        <w:t>★14.不少于五年全面保养、保修及终生校准，费用包含在投标报价中。</w:t>
      </w:r>
    </w:p>
    <w:p w14:paraId="61CB2760">
      <w:pPr>
        <w:pStyle w:val="4"/>
        <w:ind w:firstLine="654" w:firstLineChars="200"/>
        <w:rPr>
          <w:rFonts w:ascii="黑体" w:hAnsi="黑体" w:eastAsia="黑体" w:cs="仿宋_GB2312"/>
          <w:bCs w:val="0"/>
        </w:rPr>
      </w:pPr>
      <w:r>
        <w:rPr>
          <w:rFonts w:hint="eastAsia" w:ascii="黑体" w:hAnsi="黑体" w:eastAsia="黑体" w:cs="仿宋_GB2312"/>
          <w:bCs w:val="0"/>
        </w:rPr>
        <w:t>三、试剂、耗材要求</w:t>
      </w:r>
    </w:p>
    <w:p w14:paraId="17FB0065">
      <w:pPr>
        <w:pStyle w:val="4"/>
        <w:ind w:firstLine="327" w:firstLineChars="100"/>
        <w:rPr>
          <w:rFonts w:hint="eastAsia" w:ascii="仿宋_GB2312" w:hAnsi="黑体" w:cs="仿宋_GB2312"/>
          <w:bCs w:val="0"/>
        </w:rPr>
      </w:pPr>
      <w:r>
        <w:rPr>
          <w:rFonts w:hint="eastAsia" w:ascii="仿宋_GB2312" w:hAnsi="黑体" w:cs="仿宋_GB2312"/>
          <w:bCs w:val="0"/>
        </w:rPr>
        <w:t>★1.基本要求：</w:t>
      </w:r>
    </w:p>
    <w:p w14:paraId="78568636">
      <w:pPr>
        <w:adjustRightInd w:val="0"/>
        <w:snapToGrid w:val="0"/>
        <w:spacing w:line="360" w:lineRule="auto"/>
        <w:ind w:firstLine="654" w:firstLineChars="200"/>
      </w:pPr>
      <w:r>
        <w:rPr>
          <w:rFonts w:hint="eastAsia"/>
        </w:rPr>
        <w:t>投标人须在投标文件中完整列明所投设备开展检查、检验、治疗项目所必需的全部试剂与耗材，包含不同的型号、规格（规格应覆盖大、中、小等各类型号），以满足医院多样化的使用需求。如存在专机专用的原厂原装试剂耗材，投标人必须承诺提供与设备品牌一致的原厂原装产品；若无原厂原装产品，则须承诺提供与所投设备相兼容的试剂耗材。所列配套试剂、耗材须为“新招采子系统”目录内收录的产品（不作医疗器械管理的产品除外）并提供平台截图证明。（佐证材料：报价表、平台截图、承诺函）</w:t>
      </w:r>
    </w:p>
    <w:p w14:paraId="7142F36D">
      <w:pPr>
        <w:ind w:firstLine="654" w:firstLineChars="200"/>
        <w:rPr>
          <w:b/>
        </w:rPr>
      </w:pPr>
      <w:r>
        <w:rPr>
          <w:rFonts w:hint="eastAsia"/>
          <w:b/>
        </w:rPr>
        <w:t>2.配套试剂、耗材报价要求</w:t>
      </w:r>
    </w:p>
    <w:p w14:paraId="78C32431">
      <w:pPr>
        <w:spacing w:line="240" w:lineRule="auto"/>
        <w:ind w:firstLine="163" w:firstLineChars="50"/>
      </w:pPr>
      <w:r>
        <w:t>▲</w:t>
      </w:r>
      <w:r>
        <w:rPr>
          <w:rFonts w:hint="eastAsia"/>
        </w:rPr>
        <w:t>（1）投标人须提供配套耗材的详细报价清单，包括但不限于：所有必需的试剂、耗材名称、生产企业、规格、型号、注册证号、单价（元/人份、元/盒、元/测试、元/支等）、“新招采子系统”产品 ID 、标明是否专机专用。（佐证材料：报价表）</w:t>
      </w:r>
    </w:p>
    <w:p w14:paraId="20A5117B">
      <w:pPr>
        <w:adjustRightInd w:val="0"/>
        <w:snapToGrid w:val="0"/>
        <w:spacing w:line="360" w:lineRule="auto"/>
        <w:ind w:firstLine="163" w:firstLineChars="50"/>
        <w:rPr>
          <w:rFonts w:ascii="仿宋" w:hAnsi="仿宋" w:eastAsia="仿宋" w:cs="仿宋"/>
          <w:color w:val="FF0000"/>
          <w:szCs w:val="32"/>
        </w:rPr>
      </w:pPr>
      <w:r>
        <w:t>▲</w:t>
      </w:r>
      <w:r>
        <w:rPr>
          <w:rFonts w:hint="eastAsia"/>
        </w:rPr>
        <w:t>（2）</w:t>
      </w:r>
      <w:r>
        <w:rPr>
          <w:rFonts w:hint="eastAsia" w:ascii="仿宋" w:hAnsi="仿宋" w:eastAsia="仿宋" w:cs="仿宋"/>
          <w:szCs w:val="32"/>
        </w:rPr>
        <w:t>每项检测项目所需试剂、耗材(包含仪器配套试剂、所有耗材、第三方质控品等一切消耗)成本加总后（按每人份进行核算），分别不高于梅州地区对应检测项目收费标准的如下比例：血栓弹力图活化凝血试剂成本占比33%。（佐证材料：承诺函，各检查、检验、治疗项目的收费价格）</w:t>
      </w:r>
    </w:p>
    <w:p w14:paraId="77C59DC7">
      <w:pPr>
        <w:adjustRightInd w:val="0"/>
        <w:snapToGrid w:val="0"/>
        <w:spacing w:line="360" w:lineRule="auto"/>
        <w:ind w:firstLine="163" w:firstLineChars="50"/>
        <w:rPr>
          <w:rFonts w:ascii="仿宋_GB2312" w:hAnsi="仿宋_GB2312" w:cs="仿宋_GB2312"/>
          <w:szCs w:val="32"/>
        </w:rPr>
      </w:pPr>
      <w:r>
        <w:rPr>
          <w:rFonts w:hint="eastAsia" w:ascii="仿宋_GB2312" w:hAnsi="仿宋_GB2312" w:cs="仿宋_GB2312"/>
          <w:szCs w:val="32"/>
        </w:rPr>
        <w:t>★（3）对于所有检查、检验及治疗项目所需的配套耗材与试剂均须单独逐项列明。检查、检验及诊疗所需的核心主试剂与核心耗材必须进行单独报价，不得以免费形式提供，报价应包含全流程所需的包括校准品、质控品等辅助耗材。所申报的单价均不得超过下文所列价格。</w:t>
      </w:r>
    </w:p>
    <w:p w14:paraId="74D4CC2C">
      <w:pPr>
        <w:adjustRightInd w:val="0"/>
        <w:snapToGrid w:val="0"/>
        <w:spacing w:line="360" w:lineRule="auto"/>
        <w:rPr>
          <w:rFonts w:ascii="仿宋_GB2312" w:hAnsi="仿宋_GB2312" w:cs="仿宋_GB2312"/>
          <w:szCs w:val="32"/>
        </w:rPr>
      </w:pPr>
      <w:r>
        <w:rPr>
          <w:rFonts w:hint="eastAsia" w:ascii="仿宋_GB2312" w:hAnsi="仿宋_GB2312" w:cs="仿宋_GB2312"/>
          <w:szCs w:val="32"/>
        </w:rPr>
        <w:t>①投标人需承诺所有单价不高于全国各省、市交易平台公布或交易的价格。</w:t>
      </w:r>
    </w:p>
    <w:p w14:paraId="58C75CCE">
      <w:pPr>
        <w:adjustRightInd w:val="0"/>
        <w:snapToGrid w:val="0"/>
        <w:spacing w:line="360" w:lineRule="auto"/>
        <w:rPr>
          <w:rFonts w:ascii="仿宋_GB2312" w:hAnsi="仿宋_GB2312" w:cs="仿宋_GB2312"/>
          <w:szCs w:val="32"/>
        </w:rPr>
      </w:pPr>
      <w:r>
        <w:rPr>
          <w:rFonts w:hint="eastAsia" w:ascii="仿宋_GB2312" w:hAnsi="仿宋_GB2312" w:cs="仿宋_GB2312"/>
          <w:szCs w:val="32"/>
        </w:rPr>
        <w:t>②承诺在设备使用期内，若采购人需要采购专机专用配套试剂、耗材，所供应的价格不得高于此次承诺单价，且中标人应确保产品及时供应。</w:t>
      </w:r>
    </w:p>
    <w:p w14:paraId="0BD805FA">
      <w:pPr>
        <w:adjustRightInd w:val="0"/>
        <w:snapToGrid w:val="0"/>
        <w:spacing w:line="360" w:lineRule="auto"/>
        <w:rPr>
          <w:rFonts w:ascii="仿宋_GB2312" w:hAnsi="仿宋_GB2312" w:cs="仿宋_GB2312"/>
          <w:szCs w:val="32"/>
        </w:rPr>
      </w:pPr>
      <w:r>
        <w:rPr>
          <w:rFonts w:hint="eastAsia" w:ascii="仿宋_GB2312" w:hAnsi="仿宋_GB2312" w:cs="仿宋_GB2312"/>
          <w:szCs w:val="32"/>
        </w:rPr>
        <w:t>③承诺在设备使用期内，配套试剂、耗材价格如遇国家政策调整导致下调或本地区同类医院采购价低于采购人执行的价格时，投标人须主动告知采购人并按最低价同步下调价格，且下调后的价格均可在“新招采子系统”或政府主管部门规定的其他平台进行交易（不作医疗器械管理的除外）。</w:t>
      </w:r>
    </w:p>
    <w:p w14:paraId="2E36B58A">
      <w:pPr>
        <w:adjustRightInd w:val="0"/>
        <w:snapToGrid w:val="0"/>
        <w:spacing w:line="360" w:lineRule="auto"/>
        <w:rPr>
          <w:rFonts w:ascii="仿宋_GB2312" w:hAnsi="仿宋_GB2312" w:cs="仿宋_GB2312"/>
          <w:szCs w:val="32"/>
        </w:rPr>
      </w:pPr>
      <w:r>
        <w:rPr>
          <w:rFonts w:hint="eastAsia" w:ascii="仿宋_GB2312" w:hAnsi="仿宋_GB2312" w:cs="仿宋_GB2312"/>
          <w:szCs w:val="32"/>
        </w:rPr>
        <w:t>④在设备使用期内，若对应检验收费价格下调，则所需的试剂耗材需进行等比例下调。在此期间，如生产厂家对配套专机专用耗材进行升级或更换规格型号，升级或更换后的产品供应价格应不高于此次投标承诺价格及产品升级前所供应价格，调整后的价格必须能通过“新招采子系统”或政府主管部门规定的其他交易平台进行交易（不作医疗器械管理的除外）。</w:t>
      </w:r>
    </w:p>
    <w:p w14:paraId="7E7473DC">
      <w:pPr>
        <w:adjustRightInd w:val="0"/>
        <w:snapToGrid w:val="0"/>
        <w:spacing w:line="360" w:lineRule="auto"/>
        <w:rPr>
          <w:rFonts w:ascii="仿宋_GB2312" w:hAnsi="仿宋_GB2312" w:cs="仿宋_GB2312"/>
          <w:szCs w:val="32"/>
        </w:rPr>
      </w:pPr>
      <w:r>
        <w:rPr>
          <w:rFonts w:hint="eastAsia" w:ascii="仿宋_GB2312" w:hAnsi="仿宋_GB2312" w:cs="仿宋_GB2312"/>
          <w:szCs w:val="32"/>
        </w:rPr>
        <w:t>⑤不得限制医院对耗材规格、型号的选择，也不得规定每月、每季度、每年的采购数量。</w:t>
      </w:r>
    </w:p>
    <w:p w14:paraId="63218BA3">
      <w:pPr>
        <w:adjustRightInd w:val="0"/>
        <w:snapToGrid w:val="0"/>
        <w:spacing w:line="360" w:lineRule="auto"/>
        <w:ind w:firstLine="654" w:firstLineChars="200"/>
        <w:rPr>
          <w:b/>
          <w:bCs/>
        </w:rPr>
      </w:pPr>
      <w:r>
        <w:rPr>
          <w:rFonts w:hint="eastAsia" w:ascii="仿宋_GB2312" w:hAnsi="仿宋_GB2312" w:cs="仿宋_GB2312"/>
          <w:szCs w:val="32"/>
        </w:rPr>
        <w:t xml:space="preserve">⑥若投标人在投标过程中未能完整申报所投设备开展检验、项目所需的全部试剂与耗材（包括包装规格及型号等），导致无法满足医院多元化的使用需求，则后续增加的产品其供应价格不得高于本次投标同类产品的承诺价格，亦不得高于增加前同类产品的供应价格。新增产品及价格须能够通过“新招采子系统”或政府主管部门认可的其他交易平台进行交易（依法不作医疗器械管理的产品除外），且不得因此增加医院的试剂及耗材采购成本。（佐证材料：承诺函） </w:t>
      </w:r>
      <w:r>
        <w:rPr>
          <w:rFonts w:hint="eastAsia"/>
          <w:b/>
          <w:bCs/>
        </w:rPr>
        <w:t xml:space="preserve"> </w:t>
      </w:r>
    </w:p>
    <w:p w14:paraId="5F60A1C9">
      <w:pPr>
        <w:adjustRightInd w:val="0"/>
        <w:snapToGrid w:val="0"/>
        <w:spacing w:line="360" w:lineRule="auto"/>
        <w:rPr>
          <w:rFonts w:ascii="仿宋_GB2312" w:hAnsi="仿宋_GB2312" w:cs="仿宋_GB2312"/>
          <w:b/>
          <w:szCs w:val="32"/>
        </w:rPr>
      </w:pPr>
      <w:r>
        <w:rPr>
          <w:rFonts w:hint="eastAsia" w:ascii="仿宋_GB2312" w:hAnsi="仿宋_GB2312" w:cs="仿宋_GB2312"/>
          <w:b/>
          <w:szCs w:val="32"/>
        </w:rPr>
        <w:t>★3.耗材供应保障</w:t>
      </w:r>
    </w:p>
    <w:p w14:paraId="5E01D716">
      <w:pPr>
        <w:numPr>
          <w:ilvl w:val="0"/>
          <w:numId w:val="1"/>
        </w:numPr>
        <w:adjustRightInd w:val="0"/>
        <w:snapToGrid w:val="0"/>
        <w:spacing w:line="360" w:lineRule="auto"/>
        <w:rPr>
          <w:rFonts w:ascii="仿宋_GB2312" w:hAnsi="仿宋_GB2312" w:cs="仿宋_GB2312"/>
          <w:szCs w:val="32"/>
        </w:rPr>
      </w:pPr>
      <w:r>
        <w:rPr>
          <w:rFonts w:hint="eastAsia" w:ascii="仿宋_GB2312" w:hAnsi="仿宋_GB2312" w:cs="仿宋_GB2312"/>
          <w:szCs w:val="32"/>
        </w:rPr>
        <w:t>在设备使用期间，若所有试剂耗材实际检测数量未达到投标阶段所承诺的理论检测数量，投标人须依据其差额对相应试剂耗材予以补足。</w:t>
      </w:r>
    </w:p>
    <w:p w14:paraId="61EB677F">
      <w:pPr>
        <w:numPr>
          <w:ilvl w:val="255"/>
          <w:numId w:val="0"/>
        </w:numPr>
        <w:adjustRightInd w:val="0"/>
        <w:snapToGrid w:val="0"/>
        <w:spacing w:line="360" w:lineRule="auto"/>
        <w:ind w:firstLine="654" w:firstLineChars="200"/>
        <w:rPr>
          <w:rFonts w:ascii="仿宋_GB2312" w:hAnsi="仿宋_GB2312" w:cs="仿宋_GB2312"/>
          <w:szCs w:val="32"/>
        </w:rPr>
      </w:pPr>
      <w:r>
        <w:rPr>
          <w:rFonts w:hint="eastAsia" w:ascii="仿宋_GB2312" w:hAnsi="仿宋_GB2312" w:cs="仿宋_GB2312"/>
          <w:szCs w:val="32"/>
        </w:rPr>
        <w:t>（2）在设备使用期间，如出现试剂或耗材供应中断，供应方须提前一个月予以告知，并提出替代方案。替代方案不得增加医院相关成本。若中断供应超过九十天，医院有权自其他渠道进行采购，由此产生的差价由中标方承担。</w:t>
      </w:r>
    </w:p>
    <w:p w14:paraId="7EDE0C86">
      <w:pPr>
        <w:adjustRightInd w:val="0"/>
        <w:snapToGrid w:val="0"/>
        <w:spacing w:line="360" w:lineRule="auto"/>
        <w:rPr>
          <w:rFonts w:ascii="仿宋_GB2312" w:hAnsi="仿宋_GB2312" w:cs="仿宋_GB2312"/>
          <w:szCs w:val="32"/>
        </w:rPr>
      </w:pPr>
      <w:r>
        <w:rPr>
          <w:rFonts w:hint="eastAsia" w:ascii="仿宋_GB2312" w:hAnsi="仿宋_GB2312" w:cs="仿宋_GB2312"/>
          <w:szCs w:val="32"/>
        </w:rPr>
        <w:t>投标人在投标时，应提供由试剂耗材生产厂家及投标人共同出具的承诺函并加盖公章。（佐证材料：承诺函）</w:t>
      </w:r>
    </w:p>
    <w:p w14:paraId="54E39CB2">
      <w:pPr>
        <w:adjustRightInd w:val="0"/>
        <w:snapToGrid w:val="0"/>
        <w:spacing w:line="360" w:lineRule="auto"/>
        <w:rPr>
          <w:rFonts w:ascii="仿宋_GB2312" w:hAnsi="仿宋_GB2312" w:cs="仿宋_GB2312"/>
          <w:b/>
          <w:szCs w:val="32"/>
        </w:rPr>
      </w:pPr>
      <w:r>
        <w:rPr>
          <w:rFonts w:hint="eastAsia" w:ascii="仿宋_GB2312" w:hAnsi="仿宋_GB2312" w:cs="仿宋_GB2312"/>
          <w:b/>
          <w:szCs w:val="32"/>
        </w:rPr>
        <w:t>4.价格佐证材料</w:t>
      </w:r>
    </w:p>
    <w:p w14:paraId="5D95017E">
      <w:pPr>
        <w:adjustRightInd w:val="0"/>
        <w:snapToGrid w:val="0"/>
        <w:spacing w:line="360" w:lineRule="auto"/>
      </w:pPr>
      <w:r>
        <w:rPr>
          <w:rFonts w:hint="eastAsia" w:ascii="仿宋_GB2312" w:hAnsi="仿宋_GB2312" w:cs="仿宋_GB2312"/>
          <w:szCs w:val="32"/>
        </w:rPr>
        <w:t>需提供投标时各省市平台公布或交易的价格(不少于3个平台，其中至少需含浙江、江苏、京津冀平台中的一个）及近半年其他3家综合性三级甲等医院的采购记录及发票复印件等参考资料。（佐证材料：平台截图、其他医疗机构发票复印件）</w:t>
      </w:r>
    </w:p>
    <w:p w14:paraId="6DAE67A3">
      <w:pPr>
        <w:adjustRightInd w:val="0"/>
        <w:snapToGrid w:val="0"/>
        <w:spacing w:line="360" w:lineRule="auto"/>
        <w:ind w:firstLine="327" w:firstLineChars="100"/>
      </w:pPr>
      <w:r>
        <w:rPr>
          <w:rFonts w:hint="eastAsia"/>
        </w:rPr>
        <w:t>★5.仪器配套试剂方法学需符合广东省公立医疗机构基本医疗服务价格条目。（检查、检验设备才需要）（佐证材料：承诺函）</w:t>
      </w:r>
    </w:p>
    <w:p w14:paraId="2BB629F5">
      <w:pPr>
        <w:adjustRightInd w:val="0"/>
        <w:snapToGrid w:val="0"/>
        <w:spacing w:line="360" w:lineRule="auto"/>
        <w:ind w:firstLine="327" w:firstLineChars="100"/>
        <w:rPr>
          <w:b/>
        </w:rPr>
      </w:pPr>
      <w:r>
        <w:rPr>
          <w:rFonts w:hint="eastAsia"/>
        </w:rPr>
        <w:t>★6</w:t>
      </w:r>
      <w:r>
        <w:rPr>
          <w:rFonts w:hint="eastAsia"/>
          <w:b/>
        </w:rPr>
        <w:t>.赔偿责任</w:t>
      </w:r>
    </w:p>
    <w:p w14:paraId="089B6CE2">
      <w:pPr>
        <w:adjustRightInd w:val="0"/>
        <w:snapToGrid w:val="0"/>
        <w:spacing w:line="360" w:lineRule="auto"/>
      </w:pPr>
      <w:r>
        <w:rPr>
          <w:rFonts w:hint="eastAsia"/>
        </w:rPr>
        <w:t>若中标方在中标后未能履行投标承诺，招标方有权取消其中标资格。中标方须按照投标总价（即设备金额与两年专用耗材金额之和）的两倍进行赔偿，同时招标方保留追究其进一步法律责任的权利。（佐证材料：承诺函）</w:t>
      </w:r>
    </w:p>
    <w:p w14:paraId="6959C58E">
      <w:pPr>
        <w:adjustRightInd w:val="0"/>
        <w:snapToGrid w:val="0"/>
        <w:spacing w:line="360" w:lineRule="auto"/>
      </w:pPr>
      <w:r>
        <w:rPr>
          <w:rFonts w:hint="eastAsia"/>
          <w:b/>
          <w:bCs/>
        </w:rPr>
        <w:t>除投标人自身承诺外，上述所有承诺在投标时均须同时提供试剂及耗材生产厂家出具并加盖公章的承诺函，且须承诺在转配送后，前述承诺依然有效，相关承诺函格式可由投标人自行拟定。</w:t>
      </w:r>
    </w:p>
    <w:p w14:paraId="5D9C17DB">
      <w:pPr>
        <w:pStyle w:val="4"/>
        <w:ind w:firstLine="654" w:firstLineChars="200"/>
        <w:rPr>
          <w:rFonts w:ascii="黑体" w:hAnsi="黑体" w:eastAsia="黑体"/>
        </w:rPr>
      </w:pPr>
      <w:r>
        <w:rPr>
          <w:rFonts w:hint="eastAsia" w:ascii="黑体" w:hAnsi="黑体" w:eastAsia="黑体"/>
        </w:rPr>
        <w:t>四、配置清单（单台）</w:t>
      </w:r>
    </w:p>
    <w:p w14:paraId="41CC7FC7">
      <w:pPr>
        <w:ind w:firstLine="327" w:firstLineChars="100"/>
      </w:pPr>
      <w:r>
        <w:rPr>
          <w:rFonts w:hint="eastAsia" w:ascii="仿宋" w:hAnsi="仿宋" w:eastAsia="仿宋" w:cs="仿宋"/>
          <w:szCs w:val="32"/>
        </w:rPr>
        <w:t>★</w:t>
      </w:r>
      <w:r>
        <w:rPr>
          <w:rFonts w:hint="eastAsia"/>
        </w:rPr>
        <w:t>1.主机一台（套）。</w:t>
      </w:r>
    </w:p>
    <w:p w14:paraId="1F3944F9">
      <w:pPr>
        <w:pStyle w:val="4"/>
        <w:ind w:firstLine="490" w:firstLineChars="150"/>
        <w:rPr>
          <w:rFonts w:ascii="仿宋" w:hAnsi="仿宋" w:eastAsia="仿宋"/>
        </w:rPr>
        <w:sectPr>
          <w:footerReference r:id="rId5" w:type="default"/>
          <w:footerReference r:id="rId6" w:type="even"/>
          <w:pgSz w:w="11906" w:h="16838"/>
          <w:pgMar w:top="2098" w:right="1474" w:bottom="1984" w:left="1587" w:header="851" w:footer="1389" w:gutter="0"/>
          <w:cols w:space="0" w:num="1"/>
          <w:docGrid w:type="linesAndChars" w:linePitch="589" w:charSpace="1554"/>
        </w:sectPr>
      </w:pPr>
      <w:r>
        <w:rPr>
          <w:rFonts w:hint="eastAsia" w:ascii="仿宋" w:hAnsi="仿宋" w:eastAsia="仿宋" w:cs="仿宋"/>
          <w:b w:val="0"/>
          <w:bCs w:val="0"/>
        </w:rPr>
        <w:t>（说明：打★条款为实质性条款，若有任何一条负偏离或不满足则导致投标无效。打▲条款为重要技术参数，若有部分▲条款未响应或不满足，将导致其响应性评审加重扣分，但不作为无效投标条款）</w:t>
      </w:r>
    </w:p>
    <w:p w14:paraId="09CCAC81">
      <w:pPr>
        <w:snapToGrid w:val="0"/>
        <w:spacing w:line="276" w:lineRule="auto"/>
        <w:ind w:firstLine="0"/>
        <w:rPr>
          <w:rFonts w:hint="eastAsia" w:ascii="仿宋_GB2312" w:hAnsi="仿宋"/>
          <w:b/>
          <w:szCs w:val="32"/>
        </w:rPr>
      </w:pPr>
      <w:r>
        <w:rPr>
          <w:rFonts w:hint="eastAsia" w:ascii="仿宋_GB2312" w:hAnsi="仿宋"/>
          <w:b/>
          <w:szCs w:val="32"/>
        </w:rPr>
        <w:t>评审因素及对应的分值、权重：</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914"/>
        <w:gridCol w:w="5469"/>
      </w:tblGrid>
      <w:tr w14:paraId="5983F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CBFCE70">
            <w:pPr>
              <w:ind w:firstLine="0"/>
              <w:rPr>
                <w:rFonts w:ascii="仿宋" w:hAnsi="仿宋" w:eastAsia="仿宋" w:cs="仿宋"/>
                <w:sz w:val="21"/>
                <w:szCs w:val="21"/>
              </w:rPr>
            </w:pPr>
            <w:r>
              <w:rPr>
                <w:sz w:val="28"/>
                <w:szCs w:val="28"/>
              </w:rPr>
              <w:t>评审因素</w:t>
            </w:r>
          </w:p>
        </w:tc>
        <w:tc>
          <w:tcPr>
            <w:tcW w:w="7383" w:type="dxa"/>
            <w:gridSpan w:val="2"/>
          </w:tcPr>
          <w:p w14:paraId="25DBD0C3">
            <w:pPr>
              <w:jc w:val="center"/>
              <w:rPr>
                <w:rFonts w:ascii="仿宋" w:hAnsi="仿宋" w:eastAsia="仿宋" w:cs="仿宋"/>
                <w:sz w:val="21"/>
                <w:szCs w:val="21"/>
              </w:rPr>
            </w:pPr>
            <w:r>
              <w:rPr>
                <w:sz w:val="28"/>
                <w:szCs w:val="28"/>
              </w:rPr>
              <w:t>评审标准</w:t>
            </w:r>
          </w:p>
        </w:tc>
      </w:tr>
      <w:tr w14:paraId="240F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706C647">
            <w:pPr>
              <w:ind w:firstLine="0"/>
              <w:rPr>
                <w:rFonts w:ascii="仿宋" w:hAnsi="仿宋" w:eastAsia="仿宋" w:cs="仿宋"/>
                <w:sz w:val="21"/>
                <w:szCs w:val="21"/>
              </w:rPr>
            </w:pPr>
            <w:r>
              <w:rPr>
                <w:sz w:val="28"/>
                <w:szCs w:val="28"/>
              </w:rPr>
              <w:t>分值构成</w:t>
            </w:r>
          </w:p>
        </w:tc>
        <w:tc>
          <w:tcPr>
            <w:tcW w:w="7383" w:type="dxa"/>
            <w:gridSpan w:val="2"/>
          </w:tcPr>
          <w:p w14:paraId="03259286">
            <w:pPr>
              <w:ind w:firstLine="0"/>
              <w:rPr>
                <w:sz w:val="28"/>
                <w:szCs w:val="28"/>
              </w:rPr>
            </w:pPr>
            <w:r>
              <w:rPr>
                <w:rFonts w:hint="eastAsia"/>
                <w:sz w:val="28"/>
                <w:szCs w:val="28"/>
              </w:rPr>
              <w:t>商务</w:t>
            </w:r>
            <w:r>
              <w:rPr>
                <w:sz w:val="28"/>
                <w:szCs w:val="28"/>
              </w:rPr>
              <w:t>部分</w:t>
            </w:r>
            <w:r>
              <w:rPr>
                <w:rFonts w:hint="eastAsia"/>
                <w:sz w:val="28"/>
                <w:szCs w:val="28"/>
              </w:rPr>
              <w:t>7.0</w:t>
            </w:r>
            <w:r>
              <w:rPr>
                <w:sz w:val="28"/>
                <w:szCs w:val="28"/>
              </w:rPr>
              <w:t>分</w:t>
            </w:r>
          </w:p>
          <w:p w14:paraId="57FCB5F8">
            <w:pPr>
              <w:ind w:firstLine="0"/>
              <w:rPr>
                <w:sz w:val="28"/>
                <w:szCs w:val="28"/>
              </w:rPr>
            </w:pPr>
            <w:r>
              <w:rPr>
                <w:rFonts w:hint="eastAsia"/>
                <w:sz w:val="28"/>
                <w:szCs w:val="28"/>
              </w:rPr>
              <w:t>技术</w:t>
            </w:r>
            <w:r>
              <w:rPr>
                <w:sz w:val="28"/>
                <w:szCs w:val="28"/>
              </w:rPr>
              <w:t>部分</w:t>
            </w:r>
            <w:r>
              <w:rPr>
                <w:rFonts w:hint="eastAsia"/>
                <w:sz w:val="28"/>
                <w:szCs w:val="28"/>
              </w:rPr>
              <w:t>63.0</w:t>
            </w:r>
            <w:r>
              <w:rPr>
                <w:sz w:val="28"/>
                <w:szCs w:val="28"/>
              </w:rPr>
              <w:t>分</w:t>
            </w:r>
          </w:p>
          <w:p w14:paraId="18B6FF65">
            <w:pPr>
              <w:ind w:firstLine="0"/>
              <w:rPr>
                <w:rFonts w:ascii="仿宋" w:hAnsi="仿宋" w:eastAsia="仿宋" w:cs="仿宋"/>
                <w:sz w:val="21"/>
                <w:szCs w:val="21"/>
              </w:rPr>
            </w:pPr>
            <w:r>
              <w:rPr>
                <w:sz w:val="28"/>
                <w:szCs w:val="28"/>
              </w:rPr>
              <w:t>报价得分</w:t>
            </w:r>
            <w:r>
              <w:rPr>
                <w:rFonts w:hint="eastAsia"/>
                <w:sz w:val="28"/>
                <w:szCs w:val="28"/>
              </w:rPr>
              <w:t>3</w:t>
            </w:r>
            <w:r>
              <w:rPr>
                <w:sz w:val="28"/>
                <w:szCs w:val="28"/>
              </w:rPr>
              <w:t>0.0分</w:t>
            </w:r>
          </w:p>
        </w:tc>
      </w:tr>
      <w:tr w14:paraId="37A3C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02E9149">
            <w:pPr>
              <w:ind w:firstLine="0"/>
              <w:rPr>
                <w:rFonts w:ascii="仿宋" w:hAnsi="仿宋" w:eastAsia="仿宋" w:cs="仿宋"/>
                <w:sz w:val="21"/>
                <w:szCs w:val="21"/>
              </w:rPr>
            </w:pPr>
            <w:r>
              <w:rPr>
                <w:sz w:val="28"/>
                <w:szCs w:val="28"/>
              </w:rPr>
              <w:t>技术部分</w:t>
            </w:r>
          </w:p>
        </w:tc>
        <w:tc>
          <w:tcPr>
            <w:tcW w:w="1914" w:type="dxa"/>
          </w:tcPr>
          <w:p w14:paraId="349FD568">
            <w:pPr>
              <w:ind w:firstLine="0"/>
              <w:jc w:val="left"/>
              <w:rPr>
                <w:rFonts w:ascii="仿宋" w:hAnsi="仿宋" w:eastAsia="仿宋" w:cs="仿宋"/>
                <w:sz w:val="21"/>
                <w:szCs w:val="21"/>
              </w:rPr>
            </w:pPr>
            <w:r>
              <w:rPr>
                <w:sz w:val="28"/>
                <w:szCs w:val="28"/>
              </w:rPr>
              <w:t>重要技术条款响应  (</w:t>
            </w:r>
            <w:r>
              <w:rPr>
                <w:rFonts w:hint="eastAsia"/>
                <w:sz w:val="28"/>
                <w:szCs w:val="28"/>
              </w:rPr>
              <w:t>36</w:t>
            </w:r>
            <w:r>
              <w:rPr>
                <w:sz w:val="28"/>
                <w:szCs w:val="28"/>
              </w:rPr>
              <w:t>分)</w:t>
            </w:r>
          </w:p>
        </w:tc>
        <w:tc>
          <w:tcPr>
            <w:tcW w:w="5469" w:type="dxa"/>
          </w:tcPr>
          <w:p w14:paraId="082BFB5C">
            <w:pPr>
              <w:ind w:firstLine="574" w:firstLineChars="200"/>
              <w:rPr>
                <w:sz w:val="28"/>
                <w:szCs w:val="28"/>
              </w:rPr>
            </w:pPr>
            <w:r>
              <w:rPr>
                <w:sz w:val="28"/>
                <w:szCs w:val="28"/>
              </w:rPr>
              <w:t>根据各投标人对招标文件技术要求中“▲”条款</w:t>
            </w:r>
            <w:r>
              <w:rPr>
                <w:rFonts w:hint="eastAsia"/>
                <w:sz w:val="28"/>
                <w:szCs w:val="28"/>
              </w:rPr>
              <w:t>（共6条）</w:t>
            </w:r>
            <w:r>
              <w:rPr>
                <w:sz w:val="28"/>
                <w:szCs w:val="28"/>
              </w:rPr>
              <w:t>的响应程度进行评分：全部响应得</w:t>
            </w:r>
            <w:r>
              <w:rPr>
                <w:rFonts w:hint="eastAsia"/>
                <w:sz w:val="28"/>
                <w:szCs w:val="28"/>
              </w:rPr>
              <w:t>36</w:t>
            </w:r>
            <w:r>
              <w:rPr>
                <w:sz w:val="28"/>
                <w:szCs w:val="28"/>
              </w:rPr>
              <w:t>分，每有一项不响应的扣</w:t>
            </w:r>
            <w:r>
              <w:rPr>
                <w:rFonts w:hint="eastAsia"/>
                <w:sz w:val="28"/>
                <w:szCs w:val="28"/>
              </w:rPr>
              <w:t>6</w:t>
            </w:r>
            <w:r>
              <w:rPr>
                <w:sz w:val="28"/>
                <w:szCs w:val="28"/>
              </w:rPr>
              <w:t xml:space="preserve">分。 </w:t>
            </w:r>
          </w:p>
          <w:p w14:paraId="2FCD4353">
            <w:pPr>
              <w:jc w:val="left"/>
              <w:rPr>
                <w:rFonts w:ascii="仿宋" w:hAnsi="仿宋" w:eastAsia="仿宋" w:cs="仿宋"/>
                <w:sz w:val="21"/>
                <w:szCs w:val="21"/>
              </w:rPr>
            </w:pPr>
            <w:r>
              <w:rPr>
                <w:sz w:val="28"/>
                <w:szCs w:val="28"/>
              </w:rPr>
              <w:t>【注：</w:t>
            </w:r>
            <w:r>
              <w:rPr>
                <w:rFonts w:hint="eastAsia"/>
                <w:sz w:val="28"/>
                <w:szCs w:val="28"/>
              </w:rPr>
              <w:t>供应商</w:t>
            </w:r>
            <w:r>
              <w:rPr>
                <w:sz w:val="28"/>
                <w:szCs w:val="28"/>
              </w:rPr>
              <w:t>应对重要技术条款逐条进行响应，并提供证明材料。如采购需求中有明确要求提供证明材料的，则以采购需求要求的为准；</w:t>
            </w:r>
            <w:r>
              <w:rPr>
                <w:b/>
                <w:bCs/>
                <w:sz w:val="28"/>
                <w:szCs w:val="28"/>
              </w:rPr>
              <w:t>如采购需求中无明确要求证明材料的，则证明材料以</w:t>
            </w:r>
            <w:r>
              <w:rPr>
                <w:rFonts w:hint="eastAsia"/>
                <w:b/>
                <w:bCs/>
                <w:sz w:val="28"/>
                <w:szCs w:val="28"/>
              </w:rPr>
              <w:t>①产品说明书</w:t>
            </w:r>
            <w:r>
              <w:rPr>
                <w:b/>
                <w:bCs/>
                <w:sz w:val="28"/>
                <w:szCs w:val="28"/>
              </w:rPr>
              <w:t>或</w:t>
            </w:r>
            <w:r>
              <w:rPr>
                <w:rFonts w:hint="eastAsia" w:ascii="宋体" w:hAnsi="宋体" w:eastAsia="宋体" w:cs="宋体"/>
                <w:b/>
                <w:bCs/>
                <w:sz w:val="28"/>
                <w:szCs w:val="28"/>
              </w:rPr>
              <w:t>②</w:t>
            </w:r>
            <w:r>
              <w:rPr>
                <w:b/>
                <w:bCs/>
                <w:sz w:val="28"/>
                <w:szCs w:val="28"/>
              </w:rPr>
              <w:t>厂家技术白皮书（如厂家的技术白皮书为英文版，请同时提供中文版） 。</w:t>
            </w:r>
            <w:r>
              <w:rPr>
                <w:rFonts w:hint="eastAsia"/>
                <w:b/>
                <w:bCs/>
                <w:sz w:val="28"/>
                <w:szCs w:val="28"/>
              </w:rPr>
              <w:t>供应商</w:t>
            </w:r>
            <w:r>
              <w:rPr>
                <w:b/>
                <w:bCs/>
                <w:sz w:val="28"/>
                <w:szCs w:val="28"/>
              </w:rPr>
              <w:t>需对证明材料中的技术参数响应内容所在位置进行圈记或明确标识。凡不符合上述要求的证明材料、证明材料模糊不清晰或未对证明材料中的技术参数响应内容所在位置进行圈记或明确标识，导致评审专家无法认定的，该标注重要技术条款将视为负偏离。</w:t>
            </w:r>
            <w:r>
              <w:rPr>
                <w:sz w:val="28"/>
                <w:szCs w:val="28"/>
              </w:rPr>
              <w:t>】</w:t>
            </w:r>
          </w:p>
        </w:tc>
      </w:tr>
      <w:tr w14:paraId="09D9A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FB96CB4">
            <w:pPr>
              <w:jc w:val="center"/>
              <w:rPr>
                <w:rFonts w:ascii="仿宋" w:hAnsi="仿宋" w:eastAsia="仿宋" w:cs="仿宋"/>
                <w:sz w:val="36"/>
                <w:szCs w:val="24"/>
              </w:rPr>
            </w:pPr>
          </w:p>
        </w:tc>
        <w:tc>
          <w:tcPr>
            <w:tcW w:w="1914" w:type="dxa"/>
          </w:tcPr>
          <w:p w14:paraId="13FF31E5">
            <w:pPr>
              <w:ind w:firstLine="0"/>
              <w:jc w:val="left"/>
              <w:rPr>
                <w:rFonts w:ascii="仿宋" w:hAnsi="仿宋" w:eastAsia="仿宋" w:cs="仿宋"/>
                <w:sz w:val="21"/>
                <w:szCs w:val="21"/>
              </w:rPr>
            </w:pPr>
            <w:r>
              <w:rPr>
                <w:sz w:val="28"/>
                <w:szCs w:val="28"/>
              </w:rPr>
              <w:t>一般技术条款响应 (</w:t>
            </w:r>
            <w:r>
              <w:rPr>
                <w:rFonts w:hint="eastAsia"/>
                <w:sz w:val="28"/>
                <w:szCs w:val="28"/>
              </w:rPr>
              <w:t>27</w:t>
            </w:r>
            <w:r>
              <w:rPr>
                <w:sz w:val="28"/>
                <w:szCs w:val="28"/>
              </w:rPr>
              <w:t>分)</w:t>
            </w:r>
          </w:p>
        </w:tc>
        <w:tc>
          <w:tcPr>
            <w:tcW w:w="5469" w:type="dxa"/>
          </w:tcPr>
          <w:p w14:paraId="226C5781">
            <w:pPr>
              <w:jc w:val="left"/>
              <w:rPr>
                <w:sz w:val="28"/>
                <w:szCs w:val="28"/>
              </w:rPr>
            </w:pPr>
            <w:r>
              <w:rPr>
                <w:sz w:val="28"/>
                <w:szCs w:val="28"/>
              </w:rPr>
              <w:t>所投产品完全满足或优于用户需求书中不带▲号的一般技术参数要求的</w:t>
            </w:r>
            <w:r>
              <w:rPr>
                <w:rFonts w:hint="eastAsia"/>
                <w:sz w:val="28"/>
                <w:szCs w:val="28"/>
              </w:rPr>
              <w:t>（共9条）</w:t>
            </w:r>
            <w:r>
              <w:rPr>
                <w:sz w:val="28"/>
                <w:szCs w:val="28"/>
              </w:rPr>
              <w:t>，得</w:t>
            </w:r>
            <w:r>
              <w:rPr>
                <w:rFonts w:hint="eastAsia"/>
                <w:sz w:val="28"/>
                <w:szCs w:val="28"/>
              </w:rPr>
              <w:t>27</w:t>
            </w:r>
            <w:r>
              <w:rPr>
                <w:sz w:val="28"/>
                <w:szCs w:val="28"/>
              </w:rPr>
              <w:t>分。</w:t>
            </w:r>
            <w:r>
              <w:rPr>
                <w:rFonts w:hint="eastAsia"/>
                <w:sz w:val="28"/>
                <w:szCs w:val="28"/>
              </w:rPr>
              <w:t>每</w:t>
            </w:r>
            <w:r>
              <w:rPr>
                <w:sz w:val="28"/>
                <w:szCs w:val="28"/>
              </w:rPr>
              <w:t>1项不带▲号的技术参数负偏离，</w:t>
            </w:r>
            <w:r>
              <w:rPr>
                <w:rFonts w:hint="eastAsia"/>
                <w:sz w:val="28"/>
                <w:szCs w:val="28"/>
              </w:rPr>
              <w:t>扣3</w:t>
            </w:r>
            <w:r>
              <w:rPr>
                <w:sz w:val="28"/>
                <w:szCs w:val="28"/>
              </w:rPr>
              <w:t>分</w:t>
            </w:r>
            <w:r>
              <w:rPr>
                <w:rFonts w:hint="eastAsia"/>
                <w:sz w:val="28"/>
                <w:szCs w:val="28"/>
              </w:rPr>
              <w:t>。</w:t>
            </w:r>
          </w:p>
          <w:p w14:paraId="7F7A4D4F">
            <w:pPr>
              <w:jc w:val="left"/>
              <w:rPr>
                <w:rFonts w:ascii="仿宋" w:hAnsi="仿宋" w:eastAsia="仿宋" w:cs="仿宋"/>
                <w:sz w:val="21"/>
                <w:szCs w:val="21"/>
              </w:rPr>
            </w:pPr>
            <w:r>
              <w:rPr>
                <w:sz w:val="28"/>
                <w:szCs w:val="28"/>
              </w:rPr>
              <w:t>【注：</w:t>
            </w:r>
            <w:r>
              <w:rPr>
                <w:rFonts w:hint="eastAsia"/>
                <w:sz w:val="28"/>
                <w:szCs w:val="28"/>
              </w:rPr>
              <w:t>供应商</w:t>
            </w:r>
            <w:r>
              <w:rPr>
                <w:sz w:val="28"/>
                <w:szCs w:val="28"/>
              </w:rPr>
              <w:t>应对</w:t>
            </w:r>
            <w:r>
              <w:rPr>
                <w:rFonts w:hint="eastAsia"/>
                <w:sz w:val="28"/>
                <w:szCs w:val="28"/>
              </w:rPr>
              <w:t>一般</w:t>
            </w:r>
            <w:r>
              <w:rPr>
                <w:sz w:val="28"/>
                <w:szCs w:val="28"/>
              </w:rPr>
              <w:t>技术条款逐条进行响应，并提供证明材料。如采购需求中有明确要求提供证明材料的，则以采购需求要求的为准；</w:t>
            </w:r>
            <w:r>
              <w:rPr>
                <w:b/>
                <w:bCs/>
                <w:sz w:val="28"/>
                <w:szCs w:val="28"/>
              </w:rPr>
              <w:t>如采购需求中无明确要求证明材料的，则证明材料以</w:t>
            </w:r>
            <w:r>
              <w:rPr>
                <w:rFonts w:hint="eastAsia"/>
                <w:b/>
                <w:bCs/>
                <w:sz w:val="28"/>
                <w:szCs w:val="28"/>
              </w:rPr>
              <w:t>①产品说明书</w:t>
            </w:r>
            <w:r>
              <w:rPr>
                <w:b/>
                <w:bCs/>
                <w:sz w:val="28"/>
                <w:szCs w:val="28"/>
              </w:rPr>
              <w:t>或</w:t>
            </w:r>
            <w:r>
              <w:rPr>
                <w:rFonts w:hint="eastAsia" w:ascii="宋体" w:hAnsi="宋体" w:eastAsia="宋体" w:cs="宋体"/>
                <w:b/>
                <w:bCs/>
                <w:sz w:val="28"/>
                <w:szCs w:val="28"/>
              </w:rPr>
              <w:t>②</w:t>
            </w:r>
            <w:r>
              <w:rPr>
                <w:b/>
                <w:bCs/>
                <w:sz w:val="28"/>
                <w:szCs w:val="28"/>
              </w:rPr>
              <w:t>厂家技术白皮书（如厂家的技术白皮书为英文版，请同时提供中文版） 。</w:t>
            </w:r>
            <w:r>
              <w:rPr>
                <w:rFonts w:hint="eastAsia"/>
                <w:b/>
                <w:bCs/>
                <w:sz w:val="28"/>
                <w:szCs w:val="28"/>
              </w:rPr>
              <w:t>供应商</w:t>
            </w:r>
            <w:r>
              <w:rPr>
                <w:b/>
                <w:bCs/>
                <w:sz w:val="28"/>
                <w:szCs w:val="28"/>
              </w:rPr>
              <w:t>需对证明材料中的技术参数响应内容所在位置进行圈记或明确标识。凡不符合上述要求的证明材料、证明材料模糊不清晰或未对证明材料中的技术参数响应内容所在位置进行圈记或明确标识，导致评审专家无法认定的，该</w:t>
            </w:r>
            <w:r>
              <w:rPr>
                <w:rFonts w:hint="eastAsia"/>
                <w:b/>
                <w:bCs/>
                <w:sz w:val="28"/>
                <w:szCs w:val="28"/>
              </w:rPr>
              <w:t>一般</w:t>
            </w:r>
            <w:r>
              <w:rPr>
                <w:b/>
                <w:bCs/>
                <w:sz w:val="28"/>
                <w:szCs w:val="28"/>
              </w:rPr>
              <w:t>技术条款将视为负偏离。</w:t>
            </w:r>
            <w:r>
              <w:rPr>
                <w:sz w:val="28"/>
                <w:szCs w:val="28"/>
              </w:rPr>
              <w:t>】</w:t>
            </w:r>
          </w:p>
        </w:tc>
      </w:tr>
      <w:tr w14:paraId="4110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E908253">
            <w:pPr>
              <w:ind w:firstLine="0"/>
              <w:rPr>
                <w:rFonts w:ascii="仿宋" w:hAnsi="仿宋" w:eastAsia="仿宋" w:cs="仿宋"/>
                <w:sz w:val="36"/>
                <w:szCs w:val="24"/>
              </w:rPr>
            </w:pPr>
            <w:r>
              <w:rPr>
                <w:rFonts w:hint="eastAsia"/>
                <w:sz w:val="28"/>
                <w:szCs w:val="28"/>
              </w:rPr>
              <w:t>商务</w:t>
            </w:r>
            <w:r>
              <w:rPr>
                <w:sz w:val="28"/>
                <w:szCs w:val="28"/>
              </w:rPr>
              <w:t>部分</w:t>
            </w:r>
          </w:p>
        </w:tc>
        <w:tc>
          <w:tcPr>
            <w:tcW w:w="1914" w:type="dxa"/>
          </w:tcPr>
          <w:p w14:paraId="18A1B700">
            <w:pPr>
              <w:ind w:firstLine="0"/>
              <w:jc w:val="left"/>
              <w:rPr>
                <w:rFonts w:ascii="仿宋" w:hAnsi="仿宋" w:eastAsia="仿宋" w:cs="仿宋"/>
                <w:sz w:val="21"/>
                <w:szCs w:val="21"/>
              </w:rPr>
            </w:pPr>
            <w:r>
              <w:rPr>
                <w:sz w:val="28"/>
                <w:szCs w:val="28"/>
              </w:rPr>
              <w:t>售后服务方案 (</w:t>
            </w:r>
            <w:r>
              <w:rPr>
                <w:rFonts w:hint="eastAsia"/>
                <w:sz w:val="28"/>
                <w:szCs w:val="28"/>
              </w:rPr>
              <w:t>5</w:t>
            </w:r>
            <w:r>
              <w:rPr>
                <w:sz w:val="28"/>
                <w:szCs w:val="28"/>
              </w:rPr>
              <w:t>分)，（等次分值选择：0;</w:t>
            </w:r>
            <w:r>
              <w:rPr>
                <w:rFonts w:hint="eastAsia"/>
                <w:sz w:val="28"/>
                <w:szCs w:val="28"/>
              </w:rPr>
              <w:t>1</w:t>
            </w:r>
            <w:r>
              <w:rPr>
                <w:sz w:val="28"/>
                <w:szCs w:val="28"/>
              </w:rPr>
              <w:t>;</w:t>
            </w:r>
            <w:r>
              <w:rPr>
                <w:rFonts w:hint="eastAsia"/>
                <w:sz w:val="28"/>
                <w:szCs w:val="28"/>
              </w:rPr>
              <w:t>3</w:t>
            </w:r>
            <w:r>
              <w:rPr>
                <w:sz w:val="28"/>
                <w:szCs w:val="28"/>
              </w:rPr>
              <w:t>;</w:t>
            </w:r>
            <w:r>
              <w:rPr>
                <w:rFonts w:hint="eastAsia"/>
                <w:sz w:val="28"/>
                <w:szCs w:val="28"/>
              </w:rPr>
              <w:t>5</w:t>
            </w:r>
            <w:r>
              <w:rPr>
                <w:sz w:val="28"/>
                <w:szCs w:val="28"/>
              </w:rPr>
              <w:t>）</w:t>
            </w:r>
          </w:p>
        </w:tc>
        <w:tc>
          <w:tcPr>
            <w:tcW w:w="5469" w:type="dxa"/>
          </w:tcPr>
          <w:p w14:paraId="0EBF262F">
            <w:pPr>
              <w:ind w:firstLine="574" w:firstLineChars="200"/>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67DC9CDA">
            <w:pPr>
              <w:ind w:firstLine="0"/>
              <w:jc w:val="left"/>
              <w:rPr>
                <w:sz w:val="28"/>
                <w:szCs w:val="28"/>
              </w:rPr>
            </w:pPr>
            <w:r>
              <w:rPr>
                <w:rFonts w:hint="eastAsia"/>
                <w:sz w:val="28"/>
                <w:szCs w:val="28"/>
              </w:rPr>
              <w:t>（1）</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rPr>
              <w:t>承诺</w:t>
            </w:r>
            <w:r>
              <w:rPr>
                <w:sz w:val="28"/>
                <w:szCs w:val="28"/>
              </w:rPr>
              <w:t>到达时间小于</w:t>
            </w:r>
            <w:r>
              <w:rPr>
                <w:rFonts w:hint="eastAsia"/>
                <w:sz w:val="28"/>
                <w:szCs w:val="28"/>
              </w:rPr>
              <w:t>6</w:t>
            </w:r>
            <w:r>
              <w:rPr>
                <w:sz w:val="28"/>
                <w:szCs w:val="28"/>
              </w:rPr>
              <w:t>小时，</w:t>
            </w:r>
            <w:r>
              <w:rPr>
                <w:rFonts w:hint="eastAsia"/>
                <w:sz w:val="28"/>
                <w:szCs w:val="28"/>
              </w:rPr>
              <w:t>优于或</w:t>
            </w:r>
            <w:r>
              <w:rPr>
                <w:sz w:val="28"/>
                <w:szCs w:val="28"/>
              </w:rPr>
              <w:t>完全满足项目要求的得</w:t>
            </w:r>
            <w:r>
              <w:rPr>
                <w:rFonts w:hint="eastAsia"/>
                <w:sz w:val="28"/>
                <w:szCs w:val="28"/>
              </w:rPr>
              <w:t>5</w:t>
            </w:r>
            <w:r>
              <w:rPr>
                <w:sz w:val="28"/>
                <w:szCs w:val="28"/>
              </w:rPr>
              <w:t>分；</w:t>
            </w:r>
          </w:p>
          <w:p w14:paraId="348F25F6">
            <w:pPr>
              <w:ind w:firstLine="0"/>
              <w:jc w:val="left"/>
              <w:rPr>
                <w:sz w:val="28"/>
                <w:szCs w:val="28"/>
              </w:rPr>
            </w:pPr>
            <w:r>
              <w:rPr>
                <w:rFonts w:hint="eastAsia"/>
                <w:sz w:val="28"/>
                <w:szCs w:val="28"/>
              </w:rPr>
              <w:t>（2）</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rPr>
              <w:t>承诺</w:t>
            </w:r>
            <w:r>
              <w:rPr>
                <w:sz w:val="28"/>
                <w:szCs w:val="28"/>
              </w:rPr>
              <w:t>到达时间小于</w:t>
            </w:r>
            <w:r>
              <w:rPr>
                <w:rFonts w:hint="eastAsia"/>
                <w:sz w:val="28"/>
                <w:szCs w:val="28"/>
              </w:rPr>
              <w:t>12</w:t>
            </w:r>
            <w:r>
              <w:rPr>
                <w:sz w:val="28"/>
                <w:szCs w:val="28"/>
              </w:rPr>
              <w:t>小时，</w:t>
            </w:r>
            <w:r>
              <w:rPr>
                <w:rFonts w:hint="eastAsia"/>
                <w:sz w:val="28"/>
                <w:szCs w:val="28"/>
              </w:rPr>
              <w:t>基本</w:t>
            </w:r>
            <w:r>
              <w:rPr>
                <w:sz w:val="28"/>
                <w:szCs w:val="28"/>
              </w:rPr>
              <w:t>满足项目要求的得</w:t>
            </w:r>
            <w:r>
              <w:rPr>
                <w:rFonts w:hint="eastAsia"/>
                <w:sz w:val="28"/>
                <w:szCs w:val="28"/>
              </w:rPr>
              <w:t>3</w:t>
            </w:r>
            <w:r>
              <w:rPr>
                <w:sz w:val="28"/>
                <w:szCs w:val="28"/>
              </w:rPr>
              <w:t>分；</w:t>
            </w:r>
          </w:p>
          <w:p w14:paraId="64E217FE">
            <w:pPr>
              <w:ind w:firstLine="0"/>
              <w:jc w:val="left"/>
              <w:rPr>
                <w:sz w:val="28"/>
                <w:szCs w:val="28"/>
              </w:rPr>
            </w:pPr>
            <w:r>
              <w:rPr>
                <w:sz w:val="28"/>
                <w:szCs w:val="28"/>
              </w:rPr>
              <w:t>（3）投标人只提供了简单的售后服务方案，维修服务安排无法满足项目要求，</w:t>
            </w:r>
            <w:r>
              <w:rPr>
                <w:rFonts w:hint="eastAsia"/>
                <w:sz w:val="28"/>
                <w:szCs w:val="28"/>
              </w:rPr>
              <w:t>承诺</w:t>
            </w:r>
            <w:r>
              <w:rPr>
                <w:sz w:val="28"/>
                <w:szCs w:val="28"/>
              </w:rPr>
              <w:t>到达时间小于</w:t>
            </w:r>
            <w:r>
              <w:rPr>
                <w:rFonts w:hint="eastAsia"/>
                <w:sz w:val="28"/>
                <w:szCs w:val="28"/>
              </w:rPr>
              <w:t>24</w:t>
            </w:r>
            <w:r>
              <w:rPr>
                <w:sz w:val="28"/>
                <w:szCs w:val="28"/>
              </w:rPr>
              <w:t>小时</w:t>
            </w:r>
            <w:r>
              <w:rPr>
                <w:rFonts w:hint="eastAsia"/>
                <w:sz w:val="28"/>
                <w:szCs w:val="28"/>
              </w:rPr>
              <w:t>，</w:t>
            </w:r>
            <w:r>
              <w:rPr>
                <w:sz w:val="28"/>
                <w:szCs w:val="28"/>
              </w:rPr>
              <w:t>不能满足项目要求的得</w:t>
            </w:r>
            <w:r>
              <w:rPr>
                <w:rFonts w:hint="eastAsia"/>
                <w:sz w:val="28"/>
                <w:szCs w:val="28"/>
              </w:rPr>
              <w:t>1</w:t>
            </w:r>
            <w:r>
              <w:rPr>
                <w:sz w:val="28"/>
                <w:szCs w:val="28"/>
              </w:rPr>
              <w:t>分；</w:t>
            </w:r>
          </w:p>
          <w:p w14:paraId="48823273">
            <w:pPr>
              <w:ind w:firstLine="0"/>
              <w:jc w:val="left"/>
              <w:rPr>
                <w:rFonts w:ascii="仿宋" w:hAnsi="仿宋" w:eastAsia="仿宋" w:cs="仿宋"/>
                <w:sz w:val="21"/>
                <w:szCs w:val="21"/>
              </w:rPr>
            </w:pPr>
            <w:r>
              <w:rPr>
                <w:sz w:val="28"/>
                <w:szCs w:val="28"/>
              </w:rPr>
              <w:t>（4）不提供的不得分。</w:t>
            </w:r>
          </w:p>
        </w:tc>
      </w:tr>
      <w:tr w14:paraId="5DB86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830E882">
            <w:pPr>
              <w:rPr>
                <w:rFonts w:ascii="仿宋" w:hAnsi="仿宋" w:eastAsia="仿宋" w:cs="仿宋"/>
                <w:sz w:val="36"/>
                <w:szCs w:val="24"/>
              </w:rPr>
            </w:pPr>
          </w:p>
        </w:tc>
        <w:tc>
          <w:tcPr>
            <w:tcW w:w="1914" w:type="dxa"/>
          </w:tcPr>
          <w:p w14:paraId="0F5AF7DF">
            <w:pPr>
              <w:ind w:firstLine="0"/>
              <w:jc w:val="left"/>
              <w:rPr>
                <w:rFonts w:ascii="仿宋" w:hAnsi="仿宋" w:eastAsia="仿宋" w:cs="仿宋"/>
                <w:sz w:val="21"/>
                <w:szCs w:val="21"/>
              </w:rPr>
            </w:pPr>
            <w:r>
              <w:rPr>
                <w:sz w:val="28"/>
                <w:szCs w:val="28"/>
              </w:rPr>
              <w:t>同类项目服务经验情况 (</w:t>
            </w:r>
            <w:r>
              <w:rPr>
                <w:rFonts w:hint="eastAsia"/>
                <w:sz w:val="28"/>
                <w:szCs w:val="28"/>
              </w:rPr>
              <w:t>2</w:t>
            </w:r>
            <w:r>
              <w:rPr>
                <w:sz w:val="28"/>
                <w:szCs w:val="28"/>
              </w:rPr>
              <w:t>分)</w:t>
            </w:r>
          </w:p>
        </w:tc>
        <w:tc>
          <w:tcPr>
            <w:tcW w:w="5469" w:type="dxa"/>
          </w:tcPr>
          <w:p w14:paraId="431B61BC">
            <w:pPr>
              <w:ind w:firstLine="0"/>
              <w:rPr>
                <w:sz w:val="28"/>
                <w:szCs w:val="28"/>
              </w:rPr>
            </w:pPr>
            <w:r>
              <w:rPr>
                <w:sz w:val="28"/>
                <w:szCs w:val="28"/>
              </w:rPr>
              <w:t>自202</w:t>
            </w:r>
            <w:r>
              <w:rPr>
                <w:rFonts w:hint="eastAsia"/>
                <w:sz w:val="28"/>
                <w:szCs w:val="28"/>
              </w:rPr>
              <w:t>4</w:t>
            </w:r>
            <w:r>
              <w:rPr>
                <w:sz w:val="28"/>
                <w:szCs w:val="28"/>
              </w:rPr>
              <w:t>年1月1日至递交</w:t>
            </w:r>
            <w:r>
              <w:rPr>
                <w:rFonts w:hint="eastAsia"/>
                <w:sz w:val="28"/>
                <w:szCs w:val="28"/>
              </w:rPr>
              <w:t>响应</w:t>
            </w:r>
            <w:r>
              <w:rPr>
                <w:sz w:val="28"/>
                <w:szCs w:val="28"/>
              </w:rPr>
              <w:t>文件截止时间止（以合同签订时间为准），</w:t>
            </w:r>
            <w:r>
              <w:rPr>
                <w:rFonts w:hint="eastAsia"/>
                <w:sz w:val="28"/>
                <w:szCs w:val="28"/>
              </w:rPr>
              <w:t>供应商</w:t>
            </w:r>
            <w:r>
              <w:rPr>
                <w:sz w:val="28"/>
                <w:szCs w:val="28"/>
              </w:rPr>
              <w:t>承接过</w:t>
            </w:r>
            <w:r>
              <w:rPr>
                <w:rFonts w:hint="eastAsia"/>
                <w:sz w:val="28"/>
                <w:szCs w:val="28"/>
              </w:rPr>
              <w:t>全自动血栓弹力图仪类似</w:t>
            </w:r>
            <w:r>
              <w:rPr>
                <w:sz w:val="28"/>
                <w:szCs w:val="28"/>
              </w:rPr>
              <w:t>项目，每提供1个业绩，得</w:t>
            </w:r>
            <w:r>
              <w:rPr>
                <w:rFonts w:hint="eastAsia"/>
                <w:sz w:val="28"/>
                <w:szCs w:val="28"/>
              </w:rPr>
              <w:t>1</w:t>
            </w:r>
            <w:r>
              <w:rPr>
                <w:sz w:val="28"/>
                <w:szCs w:val="28"/>
              </w:rPr>
              <w:t>分，最高得</w:t>
            </w:r>
            <w:r>
              <w:rPr>
                <w:rFonts w:hint="eastAsia"/>
                <w:sz w:val="28"/>
                <w:szCs w:val="28"/>
              </w:rPr>
              <w:t>2</w:t>
            </w:r>
            <w:r>
              <w:rPr>
                <w:sz w:val="28"/>
                <w:szCs w:val="28"/>
              </w:rPr>
              <w:t>分 。</w:t>
            </w:r>
          </w:p>
          <w:p w14:paraId="77A306EE">
            <w:pPr>
              <w:ind w:firstLine="0"/>
              <w:rPr>
                <w:rFonts w:ascii="仿宋" w:hAnsi="仿宋" w:eastAsia="仿宋" w:cs="仿宋"/>
                <w:sz w:val="21"/>
                <w:szCs w:val="21"/>
              </w:rPr>
            </w:pPr>
            <w:r>
              <w:rPr>
                <w:sz w:val="28"/>
                <w:szCs w:val="28"/>
              </w:rPr>
              <w:t>【注：1.以签订合同的时间为准（分支机构的，总公司（总所）业绩可纳入评审）；2.须提供业绩合同关键页（须体现项目名称、合同采购内容、签订时间、双方落款盖章）有效证明材料复印件并加盖公章。 3.同一客户不累计得分。】</w:t>
            </w:r>
          </w:p>
        </w:tc>
      </w:tr>
      <w:tr w14:paraId="09E3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5F48D3B">
            <w:pPr>
              <w:ind w:firstLine="0"/>
              <w:rPr>
                <w:rFonts w:ascii="仿宋" w:hAnsi="仿宋" w:eastAsia="仿宋" w:cs="仿宋"/>
                <w:sz w:val="36"/>
                <w:szCs w:val="24"/>
              </w:rPr>
            </w:pPr>
            <w:r>
              <w:rPr>
                <w:rFonts w:hint="eastAsia"/>
                <w:sz w:val="28"/>
                <w:szCs w:val="28"/>
              </w:rPr>
              <w:t>投标</w:t>
            </w:r>
            <w:r>
              <w:rPr>
                <w:sz w:val="28"/>
                <w:szCs w:val="28"/>
              </w:rPr>
              <w:t>报价</w:t>
            </w:r>
          </w:p>
        </w:tc>
        <w:tc>
          <w:tcPr>
            <w:tcW w:w="1914" w:type="dxa"/>
          </w:tcPr>
          <w:p w14:paraId="5B2513C5">
            <w:pPr>
              <w:ind w:firstLine="0"/>
              <w:jc w:val="left"/>
              <w:rPr>
                <w:sz w:val="28"/>
                <w:szCs w:val="28"/>
              </w:rPr>
            </w:pPr>
            <w:r>
              <w:rPr>
                <w:sz w:val="28"/>
                <w:szCs w:val="28"/>
              </w:rPr>
              <w:t>投标报价得分 (</w:t>
            </w:r>
            <w:r>
              <w:rPr>
                <w:rFonts w:hint="eastAsia"/>
                <w:sz w:val="28"/>
                <w:szCs w:val="28"/>
              </w:rPr>
              <w:t>3</w:t>
            </w:r>
            <w:r>
              <w:rPr>
                <w:sz w:val="28"/>
                <w:szCs w:val="28"/>
              </w:rPr>
              <w:t>0分)</w:t>
            </w:r>
          </w:p>
          <w:p w14:paraId="7C0C2974">
            <w:pPr>
              <w:pStyle w:val="2"/>
              <w:rPr>
                <w:rFonts w:ascii="仿宋" w:hAnsi="仿宋" w:eastAsia="仿宋" w:cs="仿宋"/>
                <w:sz w:val="21"/>
                <w:szCs w:val="21"/>
              </w:rPr>
            </w:pPr>
          </w:p>
        </w:tc>
        <w:tc>
          <w:tcPr>
            <w:tcW w:w="5469" w:type="dxa"/>
          </w:tcPr>
          <w:p w14:paraId="062F3A41">
            <w:pPr>
              <w:rPr>
                <w:rFonts w:ascii="仿宋" w:hAnsi="仿宋" w:eastAsia="仿宋" w:cs="仿宋"/>
                <w:sz w:val="21"/>
                <w:szCs w:val="21"/>
              </w:rPr>
            </w:pPr>
            <w:r>
              <w:rPr>
                <w:rFonts w:hint="eastAsia" w:ascii="仿宋" w:hAnsi="仿宋" w:eastAsia="仿宋" w:cstheme="minorBidi"/>
                <w:sz w:val="28"/>
                <w:szCs w:val="28"/>
              </w:rPr>
              <w:t>投标报价得分(30.0分)：投标报价得分＝（基准价/报价）×价格分值【注：（1）满足采购文件要求且投标价格最低的投标报价为评标基准价，最低报价不是中标的唯一依据。（2）投标报价=供应商的设备金额+两年内的专机专用耗材金额</w:t>
            </w:r>
            <w:r>
              <w:rPr>
                <w:rFonts w:hint="eastAsia" w:ascii="仿宋_GB2312" w:hAnsi="仿宋_GB2312" w:cs="仿宋_GB2312"/>
                <w:sz w:val="28"/>
                <w:szCs w:val="21"/>
              </w:rPr>
              <w:t>(有多个产品的需分别列明，如同一类检测试剂、耗材有多个报价时取最高报价计算得分）</w:t>
            </w:r>
            <w:r>
              <w:rPr>
                <w:rFonts w:hint="eastAsia" w:ascii="仿宋" w:hAnsi="仿宋" w:eastAsia="仿宋" w:cstheme="minorBidi"/>
                <w:sz w:val="28"/>
                <w:szCs w:val="28"/>
              </w:rPr>
              <w:t>，两年内的专机专用耗材预估使用量为血栓弹力图试验（TEG）12000例。（3）上述耗材预估使用量仅为本项目评审价格计算用，并非采购人耗材使用量的承诺。若投标人不对耗材进行报价，采购人有权视为投标人对本项目报价响应缺漏，将导致投标无效。】</w:t>
            </w:r>
          </w:p>
        </w:tc>
      </w:tr>
    </w:tbl>
    <w:p w14:paraId="3FDAC326">
      <w:pPr>
        <w:autoSpaceDE w:val="0"/>
        <w:autoSpaceDN w:val="0"/>
        <w:adjustRightInd w:val="0"/>
        <w:snapToGrid w:val="0"/>
        <w:spacing w:line="240" w:lineRule="auto"/>
        <w:ind w:firstLine="0"/>
        <w:rPr>
          <w:rFonts w:ascii="仿宋" w:hAnsi="仿宋" w:eastAsia="仿宋" w:cs="Helvetica Neue"/>
          <w:i/>
          <w:iCs/>
          <w:kern w:val="0"/>
          <w:sz w:val="28"/>
          <w:szCs w:val="28"/>
        </w:rPr>
      </w:pPr>
      <w:bookmarkStart w:id="0" w:name="_GoBack"/>
      <w:bookmarkEnd w:id="0"/>
    </w:p>
    <w:sectPr>
      <w:footerReference r:id="rId7" w:type="default"/>
      <w:footerReference r:id="rId8" w:type="even"/>
      <w:pgSz w:w="11906" w:h="16838"/>
      <w:pgMar w:top="2098" w:right="1474" w:bottom="1984" w:left="1587" w:header="851" w:footer="1389" w:gutter="0"/>
      <w:cols w:space="0" w:num="1"/>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0484"/>
    </w:sdtPr>
    <w:sdtContent>
      <w:p w14:paraId="28D142A8">
        <w:pPr>
          <w:pStyle w:val="8"/>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D78B">
    <w:pPr>
      <w:pStyle w:val="8"/>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62788"/>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9695F">
        <w:pPr>
          <w:pStyle w:val="8"/>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9E3B">
    <w:pPr>
      <w:pStyle w:val="8"/>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2B67D"/>
    <w:multiLevelType w:val="singleLevel"/>
    <w:tmpl w:val="8572B6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4"/>
  <w:drawingGridVerticalSpacing w:val="29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26AD8"/>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292A"/>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8366B"/>
    <w:rsid w:val="00193F88"/>
    <w:rsid w:val="00194029"/>
    <w:rsid w:val="00194823"/>
    <w:rsid w:val="00195EBA"/>
    <w:rsid w:val="00196EDA"/>
    <w:rsid w:val="00197854"/>
    <w:rsid w:val="001A24E6"/>
    <w:rsid w:val="001A4447"/>
    <w:rsid w:val="001B1333"/>
    <w:rsid w:val="001B1B71"/>
    <w:rsid w:val="001B2A68"/>
    <w:rsid w:val="001C4EA1"/>
    <w:rsid w:val="001C7344"/>
    <w:rsid w:val="001D0A86"/>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39A4"/>
    <w:rsid w:val="002B571C"/>
    <w:rsid w:val="002B66FD"/>
    <w:rsid w:val="002C0DD6"/>
    <w:rsid w:val="002C6A1A"/>
    <w:rsid w:val="002C7F54"/>
    <w:rsid w:val="002D7395"/>
    <w:rsid w:val="002E237F"/>
    <w:rsid w:val="002E26D3"/>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43B"/>
    <w:rsid w:val="003627A5"/>
    <w:rsid w:val="00363973"/>
    <w:rsid w:val="00363C52"/>
    <w:rsid w:val="00365D7C"/>
    <w:rsid w:val="00367A87"/>
    <w:rsid w:val="00373D66"/>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2E0E"/>
    <w:rsid w:val="00463933"/>
    <w:rsid w:val="004743AB"/>
    <w:rsid w:val="00475E05"/>
    <w:rsid w:val="00476204"/>
    <w:rsid w:val="004762A8"/>
    <w:rsid w:val="00477D13"/>
    <w:rsid w:val="00481685"/>
    <w:rsid w:val="004849D9"/>
    <w:rsid w:val="00485C46"/>
    <w:rsid w:val="00493C16"/>
    <w:rsid w:val="00493F4A"/>
    <w:rsid w:val="00494368"/>
    <w:rsid w:val="00494B9F"/>
    <w:rsid w:val="004A044A"/>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4FB2"/>
    <w:rsid w:val="00516D24"/>
    <w:rsid w:val="00517059"/>
    <w:rsid w:val="00517202"/>
    <w:rsid w:val="00522C2F"/>
    <w:rsid w:val="0052575B"/>
    <w:rsid w:val="00532801"/>
    <w:rsid w:val="00535B02"/>
    <w:rsid w:val="00541E27"/>
    <w:rsid w:val="0054519E"/>
    <w:rsid w:val="00556000"/>
    <w:rsid w:val="00561A2B"/>
    <w:rsid w:val="00562309"/>
    <w:rsid w:val="00565508"/>
    <w:rsid w:val="00565873"/>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1EF"/>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64884"/>
    <w:rsid w:val="00670CE9"/>
    <w:rsid w:val="00672886"/>
    <w:rsid w:val="00672B3F"/>
    <w:rsid w:val="00673408"/>
    <w:rsid w:val="00676537"/>
    <w:rsid w:val="0067711A"/>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4E54"/>
    <w:rsid w:val="0076752D"/>
    <w:rsid w:val="00767BAC"/>
    <w:rsid w:val="0077065B"/>
    <w:rsid w:val="00774AD8"/>
    <w:rsid w:val="00776BEE"/>
    <w:rsid w:val="007876D7"/>
    <w:rsid w:val="00790882"/>
    <w:rsid w:val="00792A55"/>
    <w:rsid w:val="00797A50"/>
    <w:rsid w:val="007A0181"/>
    <w:rsid w:val="007A21EE"/>
    <w:rsid w:val="007B2492"/>
    <w:rsid w:val="007B3BB0"/>
    <w:rsid w:val="007C1B64"/>
    <w:rsid w:val="007C2CBE"/>
    <w:rsid w:val="007C420A"/>
    <w:rsid w:val="007C5AA2"/>
    <w:rsid w:val="007D1022"/>
    <w:rsid w:val="007D2A49"/>
    <w:rsid w:val="007D7699"/>
    <w:rsid w:val="007E1CA9"/>
    <w:rsid w:val="007E29C5"/>
    <w:rsid w:val="007E49F3"/>
    <w:rsid w:val="007E51BC"/>
    <w:rsid w:val="007E522C"/>
    <w:rsid w:val="007E7E57"/>
    <w:rsid w:val="007F47A4"/>
    <w:rsid w:val="0080214E"/>
    <w:rsid w:val="0080231C"/>
    <w:rsid w:val="00804542"/>
    <w:rsid w:val="00806170"/>
    <w:rsid w:val="008117FC"/>
    <w:rsid w:val="00817134"/>
    <w:rsid w:val="00821A2F"/>
    <w:rsid w:val="0082281C"/>
    <w:rsid w:val="00822D3F"/>
    <w:rsid w:val="00823456"/>
    <w:rsid w:val="00824F06"/>
    <w:rsid w:val="008257FB"/>
    <w:rsid w:val="00831957"/>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6ECA"/>
    <w:rsid w:val="0090750B"/>
    <w:rsid w:val="00914C9E"/>
    <w:rsid w:val="00914E02"/>
    <w:rsid w:val="00921E9A"/>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86C"/>
    <w:rsid w:val="00971977"/>
    <w:rsid w:val="00977775"/>
    <w:rsid w:val="0098342E"/>
    <w:rsid w:val="00986C96"/>
    <w:rsid w:val="009875F5"/>
    <w:rsid w:val="0099151D"/>
    <w:rsid w:val="0099486D"/>
    <w:rsid w:val="00995588"/>
    <w:rsid w:val="00995B22"/>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C7D"/>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42DB"/>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17"/>
    <w:rsid w:val="00BD53D7"/>
    <w:rsid w:val="00BE49AC"/>
    <w:rsid w:val="00BE67C0"/>
    <w:rsid w:val="00BE7445"/>
    <w:rsid w:val="00BF0CD4"/>
    <w:rsid w:val="00BF364B"/>
    <w:rsid w:val="00BF59C7"/>
    <w:rsid w:val="00BF5B05"/>
    <w:rsid w:val="00C0247A"/>
    <w:rsid w:val="00C03513"/>
    <w:rsid w:val="00C05C1B"/>
    <w:rsid w:val="00C06A72"/>
    <w:rsid w:val="00C11A6C"/>
    <w:rsid w:val="00C16EE1"/>
    <w:rsid w:val="00C22DA3"/>
    <w:rsid w:val="00C31042"/>
    <w:rsid w:val="00C32EB4"/>
    <w:rsid w:val="00C41E92"/>
    <w:rsid w:val="00C424E3"/>
    <w:rsid w:val="00C44EAE"/>
    <w:rsid w:val="00C46F28"/>
    <w:rsid w:val="00C52E25"/>
    <w:rsid w:val="00C56397"/>
    <w:rsid w:val="00C61AE0"/>
    <w:rsid w:val="00C625BC"/>
    <w:rsid w:val="00C67A69"/>
    <w:rsid w:val="00C67D0D"/>
    <w:rsid w:val="00C70D30"/>
    <w:rsid w:val="00C72DBF"/>
    <w:rsid w:val="00C82B74"/>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405B"/>
    <w:rsid w:val="00CC754C"/>
    <w:rsid w:val="00CD47E8"/>
    <w:rsid w:val="00CD6EA0"/>
    <w:rsid w:val="00CE0364"/>
    <w:rsid w:val="00CE27BE"/>
    <w:rsid w:val="00CE6047"/>
    <w:rsid w:val="00CE65D9"/>
    <w:rsid w:val="00CE6B4C"/>
    <w:rsid w:val="00CF1750"/>
    <w:rsid w:val="00CF26AB"/>
    <w:rsid w:val="00CF2DD4"/>
    <w:rsid w:val="00CF4116"/>
    <w:rsid w:val="00CF5C4C"/>
    <w:rsid w:val="00CF6133"/>
    <w:rsid w:val="00CF6EBF"/>
    <w:rsid w:val="00CF7E3E"/>
    <w:rsid w:val="00D00574"/>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159D"/>
    <w:rsid w:val="00DC629A"/>
    <w:rsid w:val="00DD2CA7"/>
    <w:rsid w:val="00DD343C"/>
    <w:rsid w:val="00DE2810"/>
    <w:rsid w:val="00DE7E28"/>
    <w:rsid w:val="00DF11B1"/>
    <w:rsid w:val="00DF337D"/>
    <w:rsid w:val="00E018BD"/>
    <w:rsid w:val="00E02981"/>
    <w:rsid w:val="00E02995"/>
    <w:rsid w:val="00E02CE5"/>
    <w:rsid w:val="00E058BB"/>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41921"/>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1FCE"/>
    <w:rsid w:val="00EA230F"/>
    <w:rsid w:val="00EA3B24"/>
    <w:rsid w:val="00EA3B3B"/>
    <w:rsid w:val="00EA7108"/>
    <w:rsid w:val="00EA71F2"/>
    <w:rsid w:val="00EC2FFA"/>
    <w:rsid w:val="00EC37C7"/>
    <w:rsid w:val="00EC4373"/>
    <w:rsid w:val="00ED1278"/>
    <w:rsid w:val="00ED310E"/>
    <w:rsid w:val="00ED38A9"/>
    <w:rsid w:val="00ED5591"/>
    <w:rsid w:val="00EE0929"/>
    <w:rsid w:val="00EE0F61"/>
    <w:rsid w:val="00EE6F48"/>
    <w:rsid w:val="00EE7649"/>
    <w:rsid w:val="00EE7962"/>
    <w:rsid w:val="00EF1E6B"/>
    <w:rsid w:val="00EF2032"/>
    <w:rsid w:val="00EF2CDD"/>
    <w:rsid w:val="00EF4A90"/>
    <w:rsid w:val="00EF7849"/>
    <w:rsid w:val="00F01DF4"/>
    <w:rsid w:val="00F036D8"/>
    <w:rsid w:val="00F10460"/>
    <w:rsid w:val="00F113A2"/>
    <w:rsid w:val="00F14D9D"/>
    <w:rsid w:val="00F21981"/>
    <w:rsid w:val="00F2277D"/>
    <w:rsid w:val="00F22B59"/>
    <w:rsid w:val="00F31BF7"/>
    <w:rsid w:val="00F32A38"/>
    <w:rsid w:val="00F32BA6"/>
    <w:rsid w:val="00F32F47"/>
    <w:rsid w:val="00F4445F"/>
    <w:rsid w:val="00F464F9"/>
    <w:rsid w:val="00F473A3"/>
    <w:rsid w:val="00F47DDC"/>
    <w:rsid w:val="00F50AE0"/>
    <w:rsid w:val="00F54CE9"/>
    <w:rsid w:val="00F603A3"/>
    <w:rsid w:val="00F6373C"/>
    <w:rsid w:val="00F731E8"/>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723658"/>
    <w:rsid w:val="0B9250CB"/>
    <w:rsid w:val="0BC83862"/>
    <w:rsid w:val="0C2B1433"/>
    <w:rsid w:val="0C2B6E7C"/>
    <w:rsid w:val="0C442AE4"/>
    <w:rsid w:val="0C4C1587"/>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042B52"/>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2279AD"/>
    <w:rsid w:val="1B724FAE"/>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37E56C3"/>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565B2A"/>
    <w:rsid w:val="2E6812E3"/>
    <w:rsid w:val="2E7C4629"/>
    <w:rsid w:val="2EC64B5C"/>
    <w:rsid w:val="2ED400C3"/>
    <w:rsid w:val="2F9000D8"/>
    <w:rsid w:val="2FBB4D1E"/>
    <w:rsid w:val="303F591A"/>
    <w:rsid w:val="3047087F"/>
    <w:rsid w:val="307318E5"/>
    <w:rsid w:val="307F00FF"/>
    <w:rsid w:val="3093267C"/>
    <w:rsid w:val="30D52967"/>
    <w:rsid w:val="30F6610E"/>
    <w:rsid w:val="30F7475C"/>
    <w:rsid w:val="310D5422"/>
    <w:rsid w:val="3142692F"/>
    <w:rsid w:val="31541DBA"/>
    <w:rsid w:val="315B627C"/>
    <w:rsid w:val="316A449E"/>
    <w:rsid w:val="31AE1FC7"/>
    <w:rsid w:val="31D22BF9"/>
    <w:rsid w:val="323F180D"/>
    <w:rsid w:val="329C4ED3"/>
    <w:rsid w:val="32E65787"/>
    <w:rsid w:val="32F100BD"/>
    <w:rsid w:val="33184235"/>
    <w:rsid w:val="336F02F9"/>
    <w:rsid w:val="33894BCA"/>
    <w:rsid w:val="33B72A4E"/>
    <w:rsid w:val="341A21EB"/>
    <w:rsid w:val="34515C51"/>
    <w:rsid w:val="34747AA0"/>
    <w:rsid w:val="348807AF"/>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C767AD"/>
    <w:rsid w:val="43041BFB"/>
    <w:rsid w:val="433B331D"/>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0C64B8"/>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073CD2"/>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181BDD"/>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link w:val="16"/>
    <w:qFormat/>
    <w:uiPriority w:val="99"/>
    <w:pPr>
      <w:widowControl/>
      <w:spacing w:before="200" w:line="271" w:lineRule="auto"/>
      <w:jc w:val="left"/>
      <w:outlineLvl w:val="1"/>
    </w:pPr>
    <w:rPr>
      <w:rFonts w:ascii="Cambria" w:hAnsi="Cambria"/>
      <w:smallCaps/>
      <w:kern w:val="0"/>
      <w:sz w:val="28"/>
      <w:szCs w:val="28"/>
      <w:lang w:eastAsia="en-US"/>
    </w:rPr>
  </w:style>
  <w:style w:type="paragraph" w:styleId="4">
    <w:name w:val="heading 3"/>
    <w:basedOn w:val="1"/>
    <w:next w:val="1"/>
    <w:link w:val="28"/>
    <w:unhideWhenUsed/>
    <w:qFormat/>
    <w:locked/>
    <w:uiPriority w:val="0"/>
    <w:pPr>
      <w:keepNext/>
      <w:keepLines/>
      <w:spacing w:before="260" w:after="260" w:line="416" w:lineRule="atLeast"/>
      <w:outlineLvl w:val="2"/>
    </w:pPr>
    <w:rPr>
      <w:b/>
      <w:bCs/>
      <w:szCs w:val="32"/>
    </w:rPr>
  </w:style>
  <w:style w:type="paragraph" w:styleId="5">
    <w:name w:val="heading 6"/>
    <w:basedOn w:val="1"/>
    <w:next w:val="1"/>
    <w:link w:val="17"/>
    <w:qFormat/>
    <w:uiPriority w:val="99"/>
    <w:pPr>
      <w:keepNext/>
      <w:keepLines/>
      <w:spacing w:before="240" w:after="64" w:line="320" w:lineRule="auto"/>
      <w:outlineLvl w:val="5"/>
    </w:pPr>
    <w:rPr>
      <w:rFonts w:ascii="Cambria" w:hAnsi="Cambria"/>
      <w:b/>
      <w:bCs/>
      <w:sz w:val="24"/>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napToGrid w:val="0"/>
      <w:spacing w:before="25" w:after="25"/>
    </w:pPr>
    <w:rPr>
      <w:rFonts w:ascii="Calibri" w:hAnsi="Calibri" w:eastAsia="Calibri"/>
      <w:bCs/>
      <w:spacing w:val="10"/>
      <w:sz w:val="24"/>
      <w:szCs w:val="20"/>
      <w:lang w:eastAsia="en-US"/>
    </w:rPr>
  </w:style>
  <w:style w:type="paragraph" w:styleId="6">
    <w:name w:val="annotation text"/>
    <w:basedOn w:val="1"/>
    <w:semiHidden/>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9"/>
    <w:qFormat/>
    <w:locked/>
    <w:uiPriority w:val="0"/>
    <w:pPr>
      <w:spacing w:before="240" w:after="60" w:line="312" w:lineRule="auto"/>
      <w:jc w:val="center"/>
      <w:outlineLvl w:val="1"/>
    </w:pPr>
    <w:rPr>
      <w:rFonts w:ascii="Cambria" w:hAnsi="Cambria"/>
      <w:b/>
      <w:bCs/>
      <w:kern w:val="28"/>
      <w:szCs w:val="32"/>
    </w:rPr>
  </w:style>
  <w:style w:type="paragraph" w:styleId="11">
    <w:name w:val="Normal (Web)"/>
    <w:basedOn w:val="1"/>
    <w:semiHidden/>
    <w:unhideWhenUsed/>
    <w:qFormat/>
    <w:uiPriority w:val="99"/>
    <w:pPr>
      <w:spacing w:line="240" w:lineRule="auto"/>
      <w:ind w:firstLine="0"/>
    </w:pPr>
    <w:rPr>
      <w:sz w:val="24"/>
      <w:szCs w:val="24"/>
    </w:rPr>
  </w:style>
  <w:style w:type="table" w:styleId="1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Strong"/>
    <w:basedOn w:val="14"/>
    <w:qFormat/>
    <w:locked/>
    <w:uiPriority w:val="0"/>
    <w:rPr>
      <w:b/>
    </w:rPr>
  </w:style>
  <w:style w:type="character" w:customStyle="1" w:styleId="16">
    <w:name w:val="标题 2 Char"/>
    <w:basedOn w:val="14"/>
    <w:link w:val="3"/>
    <w:qFormat/>
    <w:uiPriority w:val="99"/>
    <w:rPr>
      <w:rFonts w:ascii="Cambria" w:hAnsi="Cambria" w:eastAsia="宋体" w:cs="Times New Roman"/>
      <w:smallCaps/>
      <w:kern w:val="0"/>
      <w:sz w:val="28"/>
      <w:szCs w:val="28"/>
      <w:lang w:eastAsia="en-US"/>
    </w:rPr>
  </w:style>
  <w:style w:type="character" w:customStyle="1" w:styleId="17">
    <w:name w:val="标题 6 Char"/>
    <w:basedOn w:val="14"/>
    <w:link w:val="5"/>
    <w:qFormat/>
    <w:uiPriority w:val="99"/>
    <w:rPr>
      <w:rFonts w:ascii="Cambria" w:hAnsi="Cambria" w:eastAsia="宋体" w:cs="Times New Roman"/>
      <w:b/>
      <w:bCs/>
      <w:sz w:val="24"/>
      <w:szCs w:val="24"/>
    </w:rPr>
  </w:style>
  <w:style w:type="paragraph" w:styleId="18">
    <w:name w:val="List Paragraph"/>
    <w:basedOn w:val="1"/>
    <w:qFormat/>
    <w:uiPriority w:val="34"/>
    <w:pPr>
      <w:ind w:firstLine="420"/>
    </w:pPr>
  </w:style>
  <w:style w:type="paragraph" w:customStyle="1" w:styleId="19">
    <w:name w:val="三级标题"/>
    <w:basedOn w:val="1"/>
    <w:link w:val="20"/>
    <w:qFormat/>
    <w:uiPriority w:val="0"/>
    <w:pPr>
      <w:spacing w:beforeLines="500" w:afterLines="150"/>
    </w:pPr>
    <w:rPr>
      <w:rFonts w:ascii="方正小标宋简体" w:eastAsia="方正小标宋简体"/>
      <w:sz w:val="36"/>
      <w:szCs w:val="36"/>
    </w:rPr>
  </w:style>
  <w:style w:type="character" w:customStyle="1" w:styleId="20">
    <w:name w:val="三级标题 Char"/>
    <w:basedOn w:val="14"/>
    <w:link w:val="19"/>
    <w:qFormat/>
    <w:uiPriority w:val="0"/>
    <w:rPr>
      <w:rFonts w:ascii="方正小标宋简体" w:eastAsia="方正小标宋简体"/>
      <w:kern w:val="2"/>
      <w:sz w:val="36"/>
      <w:szCs w:val="36"/>
    </w:rPr>
  </w:style>
  <w:style w:type="paragraph" w:customStyle="1" w:styleId="21">
    <w:name w:val="四级标题"/>
    <w:basedOn w:val="1"/>
    <w:link w:val="22"/>
    <w:qFormat/>
    <w:uiPriority w:val="0"/>
    <w:pPr>
      <w:ind w:firstLine="480"/>
    </w:pPr>
    <w:rPr>
      <w:rFonts w:ascii="黑体" w:eastAsia="黑体"/>
      <w:sz w:val="24"/>
      <w:szCs w:val="24"/>
    </w:rPr>
  </w:style>
  <w:style w:type="character" w:customStyle="1" w:styleId="22">
    <w:name w:val="四级标题 Char"/>
    <w:basedOn w:val="14"/>
    <w:link w:val="21"/>
    <w:qFormat/>
    <w:uiPriority w:val="0"/>
    <w:rPr>
      <w:rFonts w:ascii="黑体" w:eastAsia="黑体"/>
      <w:sz w:val="24"/>
      <w:szCs w:val="24"/>
    </w:rPr>
  </w:style>
  <w:style w:type="paragraph" w:customStyle="1" w:styleId="23">
    <w:name w:val="标题四"/>
    <w:basedOn w:val="21"/>
    <w:link w:val="24"/>
    <w:qFormat/>
    <w:uiPriority w:val="0"/>
  </w:style>
  <w:style w:type="character" w:customStyle="1" w:styleId="24">
    <w:name w:val="标题四 Char"/>
    <w:basedOn w:val="22"/>
    <w:link w:val="23"/>
    <w:qFormat/>
    <w:uiPriority w:val="0"/>
    <w:rPr>
      <w:rFonts w:ascii="黑体" w:eastAsia="黑体"/>
      <w:sz w:val="24"/>
      <w:szCs w:val="24"/>
    </w:rPr>
  </w:style>
  <w:style w:type="character" w:customStyle="1" w:styleId="25">
    <w:name w:val="页眉 Char"/>
    <w:basedOn w:val="14"/>
    <w:link w:val="9"/>
    <w:qFormat/>
    <w:uiPriority w:val="99"/>
    <w:rPr>
      <w:sz w:val="18"/>
      <w:szCs w:val="18"/>
    </w:rPr>
  </w:style>
  <w:style w:type="character" w:customStyle="1" w:styleId="26">
    <w:name w:val="页脚 Char"/>
    <w:basedOn w:val="14"/>
    <w:link w:val="8"/>
    <w:qFormat/>
    <w:uiPriority w:val="99"/>
    <w:rPr>
      <w:sz w:val="18"/>
      <w:szCs w:val="18"/>
    </w:rPr>
  </w:style>
  <w:style w:type="character" w:customStyle="1" w:styleId="27">
    <w:name w:val="批注框文本 Char"/>
    <w:basedOn w:val="14"/>
    <w:link w:val="7"/>
    <w:semiHidden/>
    <w:qFormat/>
    <w:uiPriority w:val="99"/>
    <w:rPr>
      <w:rFonts w:ascii="Times New Roman" w:hAnsi="Times New Roman" w:eastAsia="仿宋_GB2312"/>
      <w:sz w:val="18"/>
      <w:szCs w:val="18"/>
    </w:rPr>
  </w:style>
  <w:style w:type="character" w:customStyle="1" w:styleId="28">
    <w:name w:val="标题 3 Char"/>
    <w:basedOn w:val="14"/>
    <w:link w:val="4"/>
    <w:qFormat/>
    <w:uiPriority w:val="0"/>
    <w:rPr>
      <w:rFonts w:ascii="Times New Roman" w:hAnsi="Times New Roman" w:eastAsia="仿宋_GB2312" w:cs="Times New Roman"/>
      <w:b/>
      <w:bCs/>
      <w:kern w:val="2"/>
      <w:sz w:val="32"/>
      <w:szCs w:val="32"/>
    </w:rPr>
  </w:style>
  <w:style w:type="character" w:customStyle="1" w:styleId="29">
    <w:name w:val="副标题 Char"/>
    <w:basedOn w:val="14"/>
    <w:link w:val="10"/>
    <w:qFormat/>
    <w:uiPriority w:val="0"/>
    <w:rPr>
      <w:rFonts w:ascii="Cambria" w:hAnsi="Cambria" w:eastAsia="仿宋_GB2312" w:cs="Times New Roman"/>
      <w:b/>
      <w:bCs/>
      <w:kern w:val="28"/>
      <w:sz w:val="32"/>
      <w:szCs w:val="32"/>
    </w:r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5441</Words>
  <Characters>5579</Characters>
  <Lines>40</Lines>
  <Paragraphs>11</Paragraphs>
  <TotalTime>37</TotalTime>
  <ScaleCrop>false</ScaleCrop>
  <LinksUpToDate>false</LinksUpToDate>
  <CharactersWithSpaces>5606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2026-06-24T01:08:46Z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F9C45E81E04D4257B6E35EA51D35A40D_13</vt:lpwstr>
  </property>
  <property fmtid="{D5CDD505-2E9C-101B-9397-08002B2CF9AE}" pid="4" name="KSOTemplateDocerSaveRecord">
    <vt:lpwstr>eyJoZGlkIjoiNjg0NzQ0NmNmYjlhYmM0NDBmZTg1MDM0MTljOTVkODIiLCJ1c2VySWQiOiI0MjMyNjgyNDAifQ==</vt:lpwstr>
  </property>
</Properties>
</file>