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DFCD1">
      <w:pPr>
        <w:ind w:firstLine="0"/>
        <w:rPr>
          <w:rFonts w:hint="eastAsia" w:ascii="仿宋_GB2312" w:hAnsi="仿宋_GB2312" w:cs="仿宋_GB2312"/>
          <w:b/>
          <w:bCs/>
        </w:rPr>
      </w:pPr>
      <w:r>
        <w:rPr>
          <w:rFonts w:hint="eastAsia"/>
          <w:b/>
          <w:bCs/>
        </w:rPr>
        <w:t>附件</w:t>
      </w:r>
      <w:r>
        <w:rPr>
          <w:rFonts w:hint="eastAsia"/>
          <w:b/>
          <w:bCs/>
          <w:lang w:val="en-US" w:eastAsia="zh-CN"/>
        </w:rPr>
        <w:t>2</w:t>
      </w:r>
      <w:r>
        <w:rPr>
          <w:rFonts w:hint="eastAsia" w:ascii="仿宋_GB2312" w:hAnsi="仿宋_GB2312" w:cs="仿宋_GB2312"/>
          <w:b/>
          <w:bCs/>
        </w:rPr>
        <w:t>：</w:t>
      </w:r>
    </w:p>
    <w:p w14:paraId="1A5B6CF9">
      <w:pPr>
        <w:pStyle w:val="3"/>
        <w:jc w:val="center"/>
        <w:rPr>
          <w:rFonts w:hint="eastAsia" w:ascii="方正小标宋简体" w:eastAsia="方正小标宋简体"/>
          <w:sz w:val="44"/>
          <w:szCs w:val="44"/>
        </w:rPr>
      </w:pPr>
      <w:r>
        <w:rPr>
          <w:rFonts w:hint="eastAsia" w:ascii="方正小标宋简体" w:eastAsia="方正小标宋简体"/>
          <w:sz w:val="44"/>
          <w:szCs w:val="44"/>
          <w:lang w:eastAsia="zh-CN"/>
        </w:rPr>
        <w:t>婴儿转运培养箱</w:t>
      </w:r>
      <w:r>
        <w:rPr>
          <w:rFonts w:hint="eastAsia" w:ascii="方正小标宋简体" w:eastAsia="方正小标宋简体"/>
          <w:sz w:val="44"/>
          <w:szCs w:val="44"/>
        </w:rPr>
        <w:t>技术要求及具体评审标准</w:t>
      </w:r>
    </w:p>
    <w:p w14:paraId="1FE43C65">
      <w:pPr>
        <w:rPr>
          <w:rFonts w:hint="eastAsia"/>
        </w:rPr>
      </w:pPr>
      <w:r>
        <w:rPr>
          <w:rFonts w:hint="eastAsia" w:ascii="宋体" w:hAnsi="宋体" w:eastAsia="宋体" w:cs="宋体"/>
          <w:b/>
          <w:bCs/>
          <w:sz w:val="32"/>
          <w:szCs w:val="32"/>
          <w:lang w:eastAsia="zh-CN"/>
        </w:rPr>
        <w:t>一、婴儿转运培养箱技术要求</w:t>
      </w:r>
    </w:p>
    <w:tbl>
      <w:tblPr>
        <w:tblStyle w:val="5"/>
        <w:tblW w:w="88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3"/>
        <w:gridCol w:w="813"/>
        <w:gridCol w:w="6853"/>
      </w:tblGrid>
      <w:tr w14:paraId="0A9F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1173" w:type="dxa"/>
            <w:vAlign w:val="center"/>
          </w:tcPr>
          <w:p w14:paraId="3B441D8C">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参数性质</w:t>
            </w:r>
          </w:p>
        </w:tc>
        <w:tc>
          <w:tcPr>
            <w:tcW w:w="813" w:type="dxa"/>
            <w:vAlign w:val="center"/>
          </w:tcPr>
          <w:p w14:paraId="3960D3C1">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序号</w:t>
            </w:r>
          </w:p>
        </w:tc>
        <w:tc>
          <w:tcPr>
            <w:tcW w:w="6853" w:type="dxa"/>
            <w:vAlign w:val="center"/>
          </w:tcPr>
          <w:p w14:paraId="33937A0E">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具体技术(参数)要求</w:t>
            </w:r>
          </w:p>
        </w:tc>
      </w:tr>
      <w:tr w14:paraId="78F01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3D42CA9">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26E3BB77">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53" w:type="dxa"/>
            <w:vAlign w:val="top"/>
          </w:tcPr>
          <w:p w14:paraId="38FD7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转运婴儿培养箱具有有效的医疗器械注册证明（提供注册证明文件）。</w:t>
            </w:r>
          </w:p>
        </w:tc>
      </w:tr>
      <w:tr w14:paraId="32845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1173" w:type="dxa"/>
            <w:vAlign w:val="center"/>
          </w:tcPr>
          <w:p w14:paraId="691BE65C">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068B8E9E">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853" w:type="dxa"/>
            <w:vAlign w:val="top"/>
          </w:tcPr>
          <w:p w14:paraId="5DBA41BC">
            <w:pPr>
              <w:keepNext w:val="0"/>
              <w:keepLines w:val="0"/>
              <w:suppressLineNumbers w:val="0"/>
              <w:spacing w:before="0" w:beforeAutospacing="0" w:after="0" w:afterAutospacing="0" w:line="360" w:lineRule="exact"/>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2、总体要求：用于为低体重婴儿、病危病弱儿、早产儿提供一个空气洁净、温湿度适宜的培养治疗环境。</w:t>
            </w:r>
          </w:p>
        </w:tc>
      </w:tr>
      <w:tr w14:paraId="2EF39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trPr>
        <w:tc>
          <w:tcPr>
            <w:tcW w:w="1173" w:type="dxa"/>
            <w:vAlign w:val="center"/>
          </w:tcPr>
          <w:p w14:paraId="6645D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30F9D6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6853" w:type="dxa"/>
            <w:vAlign w:val="top"/>
          </w:tcPr>
          <w:p w14:paraId="1A9C18C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技术参数要求：</w:t>
            </w:r>
          </w:p>
          <w:p w14:paraId="2CB864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1、转运车高度可上下调节，</w:t>
            </w:r>
            <w:r>
              <w:rPr>
                <w:rFonts w:hint="eastAsia" w:ascii="宋体" w:hAnsi="宋体" w:eastAsia="宋体" w:cs="宋体"/>
                <w:color w:val="auto"/>
                <w:sz w:val="24"/>
                <w:szCs w:val="24"/>
                <w:highlight w:val="none"/>
              </w:rPr>
              <w:t>满足不同身高医护人员的操作</w:t>
            </w:r>
            <w:r>
              <w:rPr>
                <w:rFonts w:hint="eastAsia" w:ascii="宋体" w:hAnsi="宋体" w:eastAsia="宋体" w:cs="宋体"/>
                <w:color w:val="auto"/>
                <w:sz w:val="24"/>
                <w:szCs w:val="24"/>
                <w:highlight w:val="none"/>
                <w:lang w:val="en-US" w:eastAsia="zh-CN"/>
              </w:rPr>
              <w:t>；</w:t>
            </w:r>
          </w:p>
        </w:tc>
      </w:tr>
      <w:tr w14:paraId="5ACA1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A50B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02FC1F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6853" w:type="dxa"/>
            <w:vAlign w:val="top"/>
          </w:tcPr>
          <w:p w14:paraId="4E98C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2、具有箱温控制功能：箱温控制范围 20.0℃—39.0℃；</w:t>
            </w:r>
            <w:r>
              <w:rPr>
                <w:rFonts w:hint="eastAsia" w:ascii="宋体" w:hAnsi="宋体" w:eastAsia="宋体" w:cs="宋体"/>
                <w:color w:val="auto"/>
                <w:sz w:val="24"/>
                <w:szCs w:val="24"/>
                <w:highlight w:val="none"/>
              </w:rPr>
              <w:t>实时温度与控制温度相差±0.5℃以内</w:t>
            </w:r>
          </w:p>
        </w:tc>
      </w:tr>
      <w:tr w14:paraId="5BC19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1173" w:type="dxa"/>
            <w:vAlign w:val="center"/>
          </w:tcPr>
          <w:p w14:paraId="4BCC2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3391FC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6853" w:type="dxa"/>
            <w:vAlign w:val="top"/>
          </w:tcPr>
          <w:p w14:paraId="541D4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3、具有肤温控制功能，肤温控制范围 34.0℃—39.0℃；</w:t>
            </w:r>
            <w:r>
              <w:rPr>
                <w:rFonts w:hint="eastAsia" w:ascii="宋体" w:hAnsi="宋体" w:eastAsia="宋体" w:cs="宋体"/>
                <w:sz w:val="24"/>
                <w:szCs w:val="24"/>
              </w:rPr>
              <w:t>实时温度与控制温度相差±0.5℃以内</w:t>
            </w:r>
          </w:p>
        </w:tc>
      </w:tr>
      <w:tr w14:paraId="7825C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F227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13B10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6853" w:type="dxa"/>
            <w:vAlign w:val="top"/>
          </w:tcPr>
          <w:p w14:paraId="28880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4.具有湿度控制功能，湿度的控制范围为：30%RH～95%RH，湿度控制精度：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±5%RH，具有缺水报警；搭载系统，有效降低箱内的温度波动，使床面温度更均匀；</w:t>
            </w:r>
          </w:p>
        </w:tc>
      </w:tr>
      <w:tr w14:paraId="21B97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73B74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7689CA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6853" w:type="dxa"/>
            <w:vAlign w:val="top"/>
          </w:tcPr>
          <w:p w14:paraId="033CD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5、配备搭载系统，有效降低箱内的温度波动，使床面温度更均匀；</w:t>
            </w:r>
          </w:p>
        </w:tc>
      </w:tr>
      <w:tr w14:paraId="6A5D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8486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0DBB90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6853" w:type="dxa"/>
            <w:vAlign w:val="top"/>
          </w:tcPr>
          <w:p w14:paraId="5ECBF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6、安全固定装置：具备婴儿绑带，固定牢靠，易于操作；</w:t>
            </w:r>
          </w:p>
        </w:tc>
      </w:tr>
      <w:tr w14:paraId="111F1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75B0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287ED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6853" w:type="dxa"/>
            <w:vAlign w:val="top"/>
          </w:tcPr>
          <w:p w14:paraId="41BD0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7、挡板采用阻尼装置，无需手扶，静音落下；</w:t>
            </w:r>
          </w:p>
        </w:tc>
      </w:tr>
      <w:tr w14:paraId="62222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5C0DF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295992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6853" w:type="dxa"/>
            <w:vAlign w:val="top"/>
          </w:tcPr>
          <w:p w14:paraId="0641C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8、超温保护，多路传感器监测，具有声光报警提示，提供多重安全防护；</w:t>
            </w:r>
          </w:p>
        </w:tc>
      </w:tr>
      <w:tr w14:paraId="1A539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1FE0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2D58E8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6853" w:type="dxa"/>
          </w:tcPr>
          <w:p w14:paraId="137B6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9、具备一键报警静音功能，除电源中断报警外，能迅速提供清洁、安静的治疗环境;</w:t>
            </w:r>
          </w:p>
        </w:tc>
      </w:tr>
      <w:tr w14:paraId="2CA74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016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6BC28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6853" w:type="dxa"/>
          </w:tcPr>
          <w:p w14:paraId="152A6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10、箱内噪音≤55dB(A)，提供安静的环境；</w:t>
            </w:r>
          </w:p>
        </w:tc>
      </w:tr>
      <w:tr w14:paraId="1F104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20360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39CFA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6853" w:type="dxa"/>
          </w:tcPr>
          <w:p w14:paraId="08B45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11、配备连接推车，推车与培养箱连接，方便转运患者。联动设计的踏板和锁定结构，以及另配单独锁，双重锁定，使连接更稳定；</w:t>
            </w:r>
          </w:p>
        </w:tc>
      </w:tr>
      <w:tr w14:paraId="13A1E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0748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776A21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6853" w:type="dxa"/>
          </w:tcPr>
          <w:p w14:paraId="349BF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12、多种供电方式：交流（AC）、直流（DC）和蓄电池三种供电模式，蓄电池单次续航时间不小于6小时，能满足院内外各种转运场景使用需求；</w:t>
            </w:r>
          </w:p>
        </w:tc>
      </w:tr>
      <w:tr w14:paraId="779A1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23BEF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382FE6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6853" w:type="dxa"/>
          </w:tcPr>
          <w:p w14:paraId="2B757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13、转运推车平台可放置如呼吸机、输注泵、空/氧气瓶、监护仪、呼吸复苏器等医疗设备；</w:t>
            </w:r>
          </w:p>
        </w:tc>
      </w:tr>
      <w:tr w14:paraId="570EF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1173" w:type="dxa"/>
            <w:vAlign w:val="center"/>
          </w:tcPr>
          <w:p w14:paraId="35285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13" w:type="dxa"/>
            <w:vAlign w:val="center"/>
          </w:tcPr>
          <w:p w14:paraId="43A35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6853" w:type="dxa"/>
          </w:tcPr>
          <w:p w14:paraId="17675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14、保修期≥3年，故障发生后2小时内响应，保期内提供每年至少一次的预防性维护，费用均包含在投标报价中；</w:t>
            </w:r>
          </w:p>
        </w:tc>
      </w:tr>
      <w:tr w14:paraId="589B8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trPr>
        <w:tc>
          <w:tcPr>
            <w:tcW w:w="1173" w:type="dxa"/>
            <w:vAlign w:val="center"/>
          </w:tcPr>
          <w:p w14:paraId="2E425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1F1934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6853" w:type="dxa"/>
          </w:tcPr>
          <w:p w14:paraId="4AF4E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15、设备使用年限≥8年，提供说明书或铭牌佐证。设备交货日期不得超过生产日期后九个月。所投设备为非召回、非停产设备</w:t>
            </w:r>
          </w:p>
        </w:tc>
      </w:tr>
      <w:tr w14:paraId="6FAE6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6" w:hRule="atLeast"/>
        </w:trPr>
        <w:tc>
          <w:tcPr>
            <w:tcW w:w="1173" w:type="dxa"/>
            <w:vAlign w:val="center"/>
          </w:tcPr>
          <w:p w14:paraId="32CE3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rPr>
              <w:t>★</w:t>
            </w:r>
          </w:p>
        </w:tc>
        <w:tc>
          <w:tcPr>
            <w:tcW w:w="813" w:type="dxa"/>
            <w:vAlign w:val="center"/>
          </w:tcPr>
          <w:p w14:paraId="194587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6853" w:type="dxa"/>
          </w:tcPr>
          <w:p w14:paraId="27728B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三、主要</w:t>
            </w:r>
            <w:r>
              <w:rPr>
                <w:rFonts w:hint="eastAsia" w:ascii="宋体" w:hAnsi="宋体" w:eastAsia="宋体" w:cs="宋体"/>
                <w:b w:val="0"/>
                <w:bCs w:val="0"/>
                <w:sz w:val="24"/>
                <w:szCs w:val="24"/>
              </w:rPr>
              <w:t>配置清单（单台</w:t>
            </w:r>
            <w:r>
              <w:rPr>
                <w:rFonts w:hint="eastAsia" w:ascii="宋体" w:hAnsi="宋体" w:eastAsia="宋体" w:cs="宋体"/>
                <w:b w:val="0"/>
                <w:bCs w:val="0"/>
                <w:sz w:val="24"/>
                <w:szCs w:val="24"/>
                <w:lang w:eastAsia="zh-CN"/>
              </w:rPr>
              <w:t>）</w:t>
            </w:r>
          </w:p>
          <w:p w14:paraId="0626DDE1">
            <w:pPr>
              <w:pStyle w:val="3"/>
              <w:numPr>
                <w:ilvl w:val="0"/>
                <w:numId w:val="0"/>
              </w:num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1、转运婴儿培育箱</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台；</w:t>
            </w:r>
          </w:p>
          <w:p w14:paraId="05D7601A">
            <w:pPr>
              <w:ind w:firstLine="0"/>
              <w:rPr>
                <w:rFonts w:hint="default"/>
                <w:lang w:val="en-US" w:eastAsia="zh-CN"/>
              </w:rPr>
            </w:pPr>
            <w:r>
              <w:rPr>
                <w:rFonts w:hint="eastAsia" w:ascii="宋体" w:hAnsi="宋体" w:eastAsia="宋体" w:cs="宋体"/>
                <w:sz w:val="24"/>
                <w:szCs w:val="24"/>
                <w:lang w:val="en-US" w:eastAsia="zh-CN"/>
              </w:rPr>
              <w:t>2、匹配救护车的电动担架车和转运平台1辆；</w:t>
            </w:r>
          </w:p>
          <w:p w14:paraId="4CC23F88">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4L氧气瓶2个</w:t>
            </w:r>
            <w:r>
              <w:rPr>
                <w:rFonts w:hint="eastAsia" w:ascii="宋体" w:hAnsi="宋体" w:eastAsia="宋体" w:cs="宋体"/>
                <w:sz w:val="24"/>
                <w:szCs w:val="24"/>
                <w:lang w:eastAsia="zh-CN"/>
              </w:rPr>
              <w:t>；</w:t>
            </w:r>
          </w:p>
          <w:p w14:paraId="00C5F50F">
            <w:pPr>
              <w:pStyle w:val="3"/>
              <w:numPr>
                <w:ilvl w:val="0"/>
                <w:numId w:val="0"/>
              </w:numPr>
              <w:ind w:firstLine="0"/>
              <w:jc w:val="left"/>
              <w:rPr>
                <w:rFonts w:hint="eastAsia" w:asci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4、</w:t>
            </w:r>
            <w:r>
              <w:rPr>
                <w:rFonts w:hint="eastAsia" w:ascii="宋体" w:eastAsia="宋体" w:cs="宋体"/>
                <w:b w:val="0"/>
                <w:bCs w:val="0"/>
                <w:sz w:val="24"/>
                <w:szCs w:val="24"/>
              </w:rPr>
              <w:t>氧气减压器2个。</w:t>
            </w:r>
          </w:p>
        </w:tc>
      </w:tr>
      <w:tr w14:paraId="7A2E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C47E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7666" w:type="dxa"/>
            <w:gridSpan w:val="2"/>
          </w:tcPr>
          <w:p w14:paraId="43030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打“▲”号条款为重要技术参数，若有部分“▲”条款未响应或不满足，将导致其响应性评审加重扣分，但不作为无效投标条款。</w:t>
            </w:r>
          </w:p>
        </w:tc>
      </w:tr>
    </w:tbl>
    <w:p w14:paraId="428FCCB5">
      <w:pPr>
        <w:pStyle w:val="2"/>
        <w:ind w:left="0" w:leftChars="0" w:firstLine="0" w:firstLineChars="0"/>
        <w:rPr>
          <w:rFonts w:hint="eastAsia"/>
        </w:rPr>
      </w:pPr>
    </w:p>
    <w:p w14:paraId="69BA231F">
      <w:pPr>
        <w:pStyle w:val="2"/>
        <w:ind w:left="0" w:leftChars="0" w:firstLine="0" w:firstLineChars="0"/>
        <w:rPr>
          <w:rFonts w:hint="eastAsia"/>
        </w:rPr>
      </w:pPr>
    </w:p>
    <w:p w14:paraId="1C144584">
      <w:pPr>
        <w:pStyle w:val="2"/>
        <w:ind w:left="0" w:leftChars="0" w:firstLine="0" w:firstLineChars="0"/>
        <w:rPr>
          <w:rFonts w:hint="eastAsia"/>
        </w:rPr>
      </w:pPr>
    </w:p>
    <w:p w14:paraId="36707708">
      <w:pPr>
        <w:pStyle w:val="2"/>
        <w:ind w:left="0" w:leftChars="0" w:firstLine="0" w:firstLineChars="0"/>
        <w:rPr>
          <w:rFonts w:hint="eastAsia"/>
        </w:rPr>
      </w:pPr>
    </w:p>
    <w:p w14:paraId="716DDA4F">
      <w:pPr>
        <w:pStyle w:val="2"/>
        <w:ind w:left="0" w:leftChars="0" w:firstLine="0" w:firstLineChars="0"/>
        <w:rPr>
          <w:rFonts w:hint="eastAsia"/>
        </w:rPr>
      </w:pPr>
    </w:p>
    <w:p w14:paraId="08A8E8F1">
      <w:pPr>
        <w:pStyle w:val="2"/>
        <w:ind w:left="0" w:leftChars="0" w:firstLine="0" w:firstLineChars="0"/>
        <w:rPr>
          <w:rFonts w:hint="eastAsia"/>
        </w:rPr>
      </w:pPr>
    </w:p>
    <w:p w14:paraId="0EC07201">
      <w:pPr>
        <w:snapToGrid w:val="0"/>
        <w:spacing w:line="276" w:lineRule="auto"/>
        <w:ind w:firstLine="0"/>
        <w:rPr>
          <w:rFonts w:hint="eastAsia" w:asciiTheme="minorEastAsia" w:hAnsiTheme="minorEastAsia" w:eastAsiaTheme="minorEastAsia" w:cstheme="minorEastAsia"/>
          <w:b/>
          <w:szCs w:val="32"/>
        </w:rPr>
      </w:pPr>
      <w:r>
        <w:rPr>
          <w:rFonts w:hint="eastAsia" w:asciiTheme="minorEastAsia" w:hAnsiTheme="minorEastAsia" w:eastAsiaTheme="minorEastAsia" w:cstheme="minorEastAsia"/>
          <w:b/>
          <w:szCs w:val="32"/>
          <w:lang w:eastAsia="zh-CN"/>
        </w:rPr>
        <w:t>二、</w:t>
      </w:r>
      <w:r>
        <w:rPr>
          <w:rFonts w:hint="eastAsia" w:asciiTheme="minorEastAsia" w:hAnsiTheme="minorEastAsia" w:eastAsiaTheme="minorEastAsia" w:cstheme="minorEastAsia"/>
          <w:b/>
          <w:szCs w:val="32"/>
        </w:rPr>
        <w:t>评审因素及</w:t>
      </w:r>
      <w:bookmarkStart w:id="0" w:name="_GoBack"/>
      <w:bookmarkEnd w:id="0"/>
      <w:r>
        <w:rPr>
          <w:rFonts w:hint="eastAsia" w:asciiTheme="minorEastAsia" w:hAnsiTheme="minorEastAsia" w:eastAsiaTheme="minorEastAsia" w:cstheme="minorEastAsia"/>
          <w:b/>
          <w:szCs w:val="32"/>
        </w:rPr>
        <w:t>对应的分值、权重：</w:t>
      </w:r>
    </w:p>
    <w:p w14:paraId="69B14404"/>
    <w:tbl>
      <w:tblPr>
        <w:tblStyle w:val="5"/>
        <w:tblW w:w="100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6789"/>
      </w:tblGrid>
      <w:tr w14:paraId="7C78B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B4DDC7F">
            <w:pPr>
              <w:ind w:left="0" w:leftChars="0" w:firstLine="0" w:firstLineChars="0"/>
              <w:jc w:val="both"/>
              <w:rPr>
                <w:sz w:val="28"/>
                <w:szCs w:val="28"/>
              </w:rPr>
            </w:pPr>
            <w:r>
              <w:rPr>
                <w:sz w:val="28"/>
                <w:szCs w:val="28"/>
              </w:rPr>
              <w:t>评审因素</w:t>
            </w:r>
          </w:p>
        </w:tc>
        <w:tc>
          <w:tcPr>
            <w:tcW w:w="9165" w:type="dxa"/>
            <w:gridSpan w:val="2"/>
            <w:noWrap w:val="0"/>
            <w:vAlign w:val="top"/>
          </w:tcPr>
          <w:p w14:paraId="185A8BB2">
            <w:pPr>
              <w:jc w:val="center"/>
              <w:rPr>
                <w:sz w:val="28"/>
                <w:szCs w:val="28"/>
              </w:rPr>
            </w:pPr>
            <w:r>
              <w:rPr>
                <w:sz w:val="28"/>
                <w:szCs w:val="28"/>
              </w:rPr>
              <w:t>评审标准</w:t>
            </w:r>
          </w:p>
        </w:tc>
      </w:tr>
      <w:tr w14:paraId="338AE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6802C38E">
            <w:pPr>
              <w:ind w:left="0" w:leftChars="0" w:firstLine="0" w:firstLineChars="0"/>
              <w:jc w:val="both"/>
              <w:rPr>
                <w:sz w:val="28"/>
                <w:szCs w:val="28"/>
              </w:rPr>
            </w:pPr>
            <w:r>
              <w:rPr>
                <w:sz w:val="28"/>
                <w:szCs w:val="28"/>
              </w:rPr>
              <w:t>分值构成</w:t>
            </w:r>
          </w:p>
        </w:tc>
        <w:tc>
          <w:tcPr>
            <w:tcW w:w="9165" w:type="dxa"/>
            <w:gridSpan w:val="2"/>
            <w:noWrap w:val="0"/>
            <w:vAlign w:val="top"/>
          </w:tcPr>
          <w:p w14:paraId="21C7BCFD">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62</w:t>
            </w:r>
            <w:r>
              <w:rPr>
                <w:sz w:val="28"/>
                <w:szCs w:val="28"/>
              </w:rPr>
              <w:t>.0分</w:t>
            </w:r>
          </w:p>
          <w:p w14:paraId="0E3BA9E1">
            <w:pPr>
              <w:ind w:left="0" w:leftChars="0" w:firstLine="0" w:firstLineChars="0"/>
            </w:pPr>
            <w:r>
              <w:rPr>
                <w:rFonts w:hint="eastAsia"/>
                <w:sz w:val="28"/>
                <w:szCs w:val="28"/>
                <w:lang w:val="en-US" w:eastAsia="zh-CN"/>
              </w:rPr>
              <w:t>商务</w:t>
            </w:r>
            <w:r>
              <w:rPr>
                <w:sz w:val="28"/>
                <w:szCs w:val="28"/>
              </w:rPr>
              <w:t>部分</w:t>
            </w:r>
            <w:r>
              <w:rPr>
                <w:rFonts w:hint="eastAsia"/>
                <w:sz w:val="28"/>
                <w:szCs w:val="28"/>
                <w:lang w:val="en-US" w:eastAsia="zh-CN"/>
              </w:rPr>
              <w:t>8</w:t>
            </w:r>
            <w:r>
              <w:rPr>
                <w:sz w:val="28"/>
                <w:szCs w:val="28"/>
              </w:rPr>
              <w:t>.0分</w:t>
            </w:r>
          </w:p>
          <w:p w14:paraId="160A3F72">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57004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738E42A4">
            <w:pPr>
              <w:ind w:left="0" w:leftChars="0" w:firstLine="0" w:firstLineChars="0"/>
              <w:jc w:val="both"/>
              <w:rPr>
                <w:sz w:val="28"/>
                <w:szCs w:val="28"/>
              </w:rPr>
            </w:pPr>
            <w:r>
              <w:rPr>
                <w:sz w:val="28"/>
                <w:szCs w:val="28"/>
              </w:rPr>
              <w:t>技术部分</w:t>
            </w:r>
          </w:p>
        </w:tc>
        <w:tc>
          <w:tcPr>
            <w:tcW w:w="2376" w:type="dxa"/>
            <w:noWrap w:val="0"/>
            <w:vAlign w:val="top"/>
          </w:tcPr>
          <w:p w14:paraId="63D7EFB4">
            <w:pPr>
              <w:ind w:left="0" w:leftChars="0" w:firstLine="0" w:firstLineChars="0"/>
              <w:jc w:val="left"/>
              <w:rPr>
                <w:sz w:val="28"/>
                <w:szCs w:val="28"/>
              </w:rPr>
            </w:pPr>
            <w:r>
              <w:rPr>
                <w:sz w:val="28"/>
                <w:szCs w:val="28"/>
              </w:rPr>
              <w:t>重要技术条款响应  (</w:t>
            </w:r>
            <w:r>
              <w:rPr>
                <w:rFonts w:hint="eastAsia"/>
                <w:sz w:val="28"/>
                <w:szCs w:val="28"/>
                <w:lang w:val="en-US" w:eastAsia="zh-CN"/>
              </w:rPr>
              <w:t>30</w:t>
            </w:r>
            <w:r>
              <w:rPr>
                <w:sz w:val="28"/>
                <w:szCs w:val="28"/>
              </w:rPr>
              <w:t>.0分)</w:t>
            </w:r>
          </w:p>
        </w:tc>
        <w:tc>
          <w:tcPr>
            <w:tcW w:w="6789" w:type="dxa"/>
            <w:noWrap w:val="0"/>
            <w:vAlign w:val="top"/>
          </w:tcPr>
          <w:p w14:paraId="11BD5D2E">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重要技术条款响应（</w:t>
            </w:r>
            <w:r>
              <w:rPr>
                <w:rFonts w:hint="eastAsia" w:ascii="仿宋" w:hAnsi="仿宋" w:eastAsia="仿宋" w:cs="仿宋"/>
                <w:color w:val="auto"/>
                <w:sz w:val="28"/>
                <w:szCs w:val="28"/>
                <w:shd w:val="clear" w:color="auto" w:fill="auto"/>
                <w:lang w:val="en-US" w:eastAsia="zh-CN"/>
              </w:rPr>
              <w:t>30</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根据各投标人对</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文件技术要求中“▲”条款（共</w:t>
            </w:r>
            <w:r>
              <w:rPr>
                <w:rFonts w:hint="eastAsia" w:ascii="仿宋" w:hAnsi="仿宋" w:eastAsia="仿宋" w:cs="仿宋"/>
                <w:color w:val="auto"/>
                <w:sz w:val="28"/>
                <w:szCs w:val="28"/>
                <w:shd w:val="clear" w:color="auto" w:fill="auto"/>
                <w:lang w:val="en-US" w:eastAsia="zh-CN"/>
              </w:rPr>
              <w:t>6</w:t>
            </w:r>
            <w:r>
              <w:rPr>
                <w:rFonts w:hint="eastAsia" w:ascii="仿宋" w:hAnsi="仿宋" w:eastAsia="仿宋" w:cs="仿宋"/>
                <w:color w:val="auto"/>
                <w:sz w:val="28"/>
                <w:szCs w:val="28"/>
                <w:shd w:val="clear" w:color="auto" w:fill="auto"/>
              </w:rPr>
              <w:t>条）的响应程度进行评分： 全部响应得</w:t>
            </w:r>
            <w:r>
              <w:rPr>
                <w:rFonts w:hint="eastAsia" w:ascii="仿宋" w:hAnsi="仿宋" w:eastAsia="仿宋" w:cs="仿宋"/>
                <w:color w:val="auto"/>
                <w:sz w:val="28"/>
                <w:szCs w:val="28"/>
                <w:shd w:val="clear" w:color="auto" w:fill="auto"/>
                <w:lang w:val="en-US" w:eastAsia="zh-CN"/>
              </w:rPr>
              <w:t>30</w:t>
            </w:r>
            <w:r>
              <w:rPr>
                <w:rFonts w:hint="eastAsia" w:ascii="仿宋" w:hAnsi="仿宋" w:eastAsia="仿宋" w:cs="仿宋"/>
                <w:color w:val="auto"/>
                <w:sz w:val="28"/>
                <w:szCs w:val="28"/>
                <w:shd w:val="clear" w:color="auto" w:fill="auto"/>
              </w:rPr>
              <w:t>分，每有一项不响应的扣</w:t>
            </w:r>
            <w:r>
              <w:rPr>
                <w:rFonts w:hint="eastAsia" w:ascii="仿宋" w:hAnsi="仿宋" w:eastAsia="仿宋" w:cs="仿宋"/>
                <w:color w:val="auto"/>
                <w:sz w:val="28"/>
                <w:szCs w:val="28"/>
                <w:shd w:val="clear" w:color="auto" w:fill="auto"/>
                <w:lang w:val="en-US" w:eastAsia="zh-CN"/>
              </w:rPr>
              <w:t>5</w:t>
            </w:r>
            <w:r>
              <w:rPr>
                <w:rFonts w:hint="eastAsia" w:ascii="仿宋" w:hAnsi="仿宋" w:eastAsia="仿宋" w:cs="仿宋"/>
                <w:color w:val="auto"/>
                <w:sz w:val="28"/>
                <w:szCs w:val="28"/>
                <w:shd w:val="clear" w:color="auto" w:fill="auto"/>
              </w:rPr>
              <w:t>分。</w:t>
            </w:r>
          </w:p>
          <w:p w14:paraId="15CC98E0">
            <w:pPr>
              <w:jc w:val="left"/>
              <w:rPr>
                <w:sz w:val="28"/>
                <w:szCs w:val="28"/>
              </w:rPr>
            </w:pPr>
            <w:r>
              <w:rPr>
                <w:rFonts w:hint="eastAsia" w:ascii="仿宋" w:hAnsi="仿宋" w:eastAsia="仿宋" w:cs="仿宋"/>
                <w:color w:val="auto"/>
                <w:sz w:val="28"/>
                <w:szCs w:val="28"/>
                <w:shd w:val="clear" w:color="auto" w:fill="auto"/>
              </w:rPr>
              <w:t>所有投标人须提供投标产品彩页及相应技术参数的厂家使用说明书作为技术证明文件，否则</w:t>
            </w:r>
            <w:r>
              <w:rPr>
                <w:rFonts w:hint="eastAsia" w:ascii="仿宋" w:hAnsi="仿宋" w:eastAsia="仿宋" w:cs="仿宋"/>
                <w:color w:val="auto"/>
                <w:sz w:val="28"/>
                <w:szCs w:val="28"/>
                <w:shd w:val="clear" w:color="auto" w:fill="auto"/>
                <w:lang w:eastAsia="zh-CN"/>
              </w:rPr>
              <w:t>采购人</w:t>
            </w:r>
            <w:r>
              <w:rPr>
                <w:rFonts w:hint="eastAsia" w:ascii="仿宋" w:hAnsi="仿宋" w:eastAsia="仿宋" w:cs="仿宋"/>
                <w:color w:val="auto"/>
                <w:sz w:val="28"/>
                <w:szCs w:val="28"/>
                <w:shd w:val="clear" w:color="auto" w:fill="auto"/>
              </w:rPr>
              <w:t>有权视相应技术参数响应不符合</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 xml:space="preserve">要求（如厂家的产品使用说明书为英文版，请同时提供中文版）。 </w:t>
            </w:r>
          </w:p>
        </w:tc>
      </w:tr>
      <w:tr w14:paraId="393FD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2E0B4E1B">
            <w:pPr>
              <w:jc w:val="center"/>
              <w:rPr>
                <w:sz w:val="28"/>
                <w:szCs w:val="28"/>
              </w:rPr>
            </w:pPr>
          </w:p>
        </w:tc>
        <w:tc>
          <w:tcPr>
            <w:tcW w:w="2376" w:type="dxa"/>
            <w:noWrap w:val="0"/>
            <w:vAlign w:val="top"/>
          </w:tcPr>
          <w:p w14:paraId="41A95FE4">
            <w:pPr>
              <w:ind w:left="0" w:leftChars="0" w:firstLine="0" w:firstLineChars="0"/>
              <w:jc w:val="left"/>
              <w:rPr>
                <w:sz w:val="28"/>
                <w:szCs w:val="28"/>
              </w:rPr>
            </w:pPr>
            <w:r>
              <w:rPr>
                <w:sz w:val="28"/>
                <w:szCs w:val="28"/>
              </w:rPr>
              <w:t>一般技术条款响应 (</w:t>
            </w:r>
            <w:r>
              <w:rPr>
                <w:rFonts w:hint="eastAsia"/>
                <w:sz w:val="28"/>
                <w:szCs w:val="28"/>
                <w:lang w:val="en-US" w:eastAsia="zh-CN"/>
              </w:rPr>
              <w:t>18</w:t>
            </w:r>
            <w:r>
              <w:rPr>
                <w:sz w:val="28"/>
                <w:szCs w:val="28"/>
              </w:rPr>
              <w:t>.0分)</w:t>
            </w:r>
          </w:p>
        </w:tc>
        <w:tc>
          <w:tcPr>
            <w:tcW w:w="6789" w:type="dxa"/>
            <w:noWrap w:val="0"/>
            <w:vAlign w:val="top"/>
          </w:tcPr>
          <w:p w14:paraId="1FC77A6C">
            <w:pPr>
              <w:jc w:val="left"/>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val="en-US" w:eastAsia="zh-CN"/>
              </w:rPr>
              <w:t>所投货物技术参数及性能与技术规格要求的符合性（18分）：</w:t>
            </w:r>
            <w:r>
              <w:rPr>
                <w:rFonts w:hint="eastAsia" w:ascii="仿宋" w:hAnsi="仿宋" w:eastAsia="仿宋" w:cs="仿宋"/>
                <w:color w:val="auto"/>
                <w:sz w:val="28"/>
                <w:szCs w:val="28"/>
                <w:shd w:val="clear" w:color="auto" w:fill="auto"/>
                <w:lang w:eastAsia="zh-CN"/>
              </w:rPr>
              <w:t>根根据各投标人对采购文件技术要求中一般条款（共</w:t>
            </w:r>
            <w:r>
              <w:rPr>
                <w:rFonts w:hint="eastAsia" w:ascii="仿宋" w:hAnsi="仿宋" w:eastAsia="仿宋" w:cs="仿宋"/>
                <w:color w:val="auto"/>
                <w:sz w:val="28"/>
                <w:szCs w:val="28"/>
                <w:shd w:val="clear" w:color="auto" w:fill="auto"/>
                <w:lang w:val="en-US" w:eastAsia="zh-CN"/>
              </w:rPr>
              <w:t>9</w:t>
            </w:r>
            <w:r>
              <w:rPr>
                <w:rFonts w:hint="eastAsia" w:ascii="仿宋" w:hAnsi="仿宋" w:eastAsia="仿宋" w:cs="仿宋"/>
                <w:color w:val="auto"/>
                <w:sz w:val="28"/>
                <w:szCs w:val="28"/>
                <w:shd w:val="clear" w:color="auto" w:fill="auto"/>
                <w:lang w:eastAsia="zh-CN"/>
              </w:rPr>
              <w:t>条）的响应程度进行评分： 全部响应得</w:t>
            </w:r>
            <w:r>
              <w:rPr>
                <w:rFonts w:hint="eastAsia" w:ascii="仿宋" w:hAnsi="仿宋" w:eastAsia="仿宋" w:cs="仿宋"/>
                <w:color w:val="auto"/>
                <w:sz w:val="28"/>
                <w:szCs w:val="28"/>
                <w:shd w:val="clear" w:color="auto" w:fill="auto"/>
                <w:lang w:val="en-US" w:eastAsia="zh-CN"/>
              </w:rPr>
              <w:t>9</w:t>
            </w:r>
            <w:r>
              <w:rPr>
                <w:rFonts w:hint="eastAsia" w:ascii="仿宋" w:hAnsi="仿宋" w:eastAsia="仿宋" w:cs="仿宋"/>
                <w:color w:val="auto"/>
                <w:sz w:val="28"/>
                <w:szCs w:val="28"/>
                <w:shd w:val="clear" w:color="auto" w:fill="auto"/>
                <w:lang w:eastAsia="zh-CN"/>
              </w:rPr>
              <w:t>分，每有一项不响应的扣</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lang w:eastAsia="zh-CN"/>
              </w:rPr>
              <w:t xml:space="preserve">分。 </w:t>
            </w:r>
          </w:p>
          <w:p w14:paraId="72DBAF0E">
            <w:pPr>
              <w:jc w:val="left"/>
            </w:pPr>
            <w:r>
              <w:rPr>
                <w:rFonts w:hint="eastAsia" w:ascii="仿宋" w:hAnsi="仿宋" w:eastAsia="仿宋" w:cs="仿宋"/>
                <w:color w:val="auto"/>
                <w:sz w:val="28"/>
                <w:szCs w:val="28"/>
                <w:shd w:val="clear" w:color="auto" w:fill="auto"/>
                <w:lang w:eastAsia="zh-CN"/>
              </w:rPr>
              <w:t>所有投标人须提供投标产品彩页及相应技术参数的厂家使用说明书作为技术证明文件，否则采购人有权视相应技术参数响应不符合采购要求（如厂家的产品使用说明书为英文版，请同时提供中文版）</w:t>
            </w:r>
          </w:p>
        </w:tc>
      </w:tr>
      <w:tr w14:paraId="5F9E3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1176857D">
            <w:pPr>
              <w:ind w:left="0" w:leftChars="0" w:firstLine="0" w:firstLineChars="0"/>
              <w:jc w:val="both"/>
              <w:rPr>
                <w:rFonts w:hint="eastAsia"/>
                <w:sz w:val="28"/>
                <w:szCs w:val="28"/>
                <w:lang w:val="en-US" w:eastAsia="zh-CN"/>
              </w:rPr>
            </w:pPr>
          </w:p>
        </w:tc>
        <w:tc>
          <w:tcPr>
            <w:tcW w:w="2376" w:type="dxa"/>
            <w:noWrap w:val="0"/>
            <w:vAlign w:val="top"/>
          </w:tcPr>
          <w:p w14:paraId="6DFC08A1">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质量保证方案 (6.0分)</w:t>
            </w:r>
          </w:p>
        </w:tc>
        <w:tc>
          <w:tcPr>
            <w:tcW w:w="6789" w:type="dxa"/>
            <w:noWrap w:val="0"/>
            <w:vAlign w:val="top"/>
          </w:tcPr>
          <w:p w14:paraId="46DC050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根据投标人针对本项目所提供的质量保证方案，方案内容包括但不限于质保年限、质量保证目标、质量保障措施等内容、提供备品备件服务等内容进行评审：</w:t>
            </w:r>
          </w:p>
          <w:p w14:paraId="613B4BA0">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所提供的质保年限和质量保证目标、质量保障措施方案内容详细，有完整合理的部署规划，有安排人员负责响应采购人的维修要求及服务过程中的沟通，有完整可行操作的维修处理方法，对日常维修和应急情况响应及时，优于或完全满足项目要求的得6分；</w:t>
            </w:r>
          </w:p>
          <w:p w14:paraId="635D4435">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所提供的质保年限和质量保证目标、质量保障措施方案基本完整，部署规划基本合理，有安排人员负责响应采购人的维修要求及服务过程中的沟通，维修处理方法基本合理可行，对日常维修和应急情况响应较及时，基本满足项目要求的得4分；</w:t>
            </w:r>
          </w:p>
          <w:p w14:paraId="4747117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只提供了简单的售后服务方案，投标人有提供质保期年限和质量保证目标、质量保障措施方案，但内容不详细，部署规划不合理，有人员响应采购人的维修要求及服务过程中的沟通，有基本的操作的维修处理方法，对日常维修和应急情况响应不及时，部分满足项目要求的得2分；</w:t>
            </w:r>
          </w:p>
          <w:p w14:paraId="59D5B429">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456AE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4DC831BD">
            <w:pPr>
              <w:ind w:left="0" w:leftChars="0" w:firstLine="0" w:firstLineChars="0"/>
              <w:jc w:val="both"/>
              <w:rPr>
                <w:rFonts w:hint="eastAsia"/>
                <w:sz w:val="28"/>
                <w:szCs w:val="28"/>
                <w:lang w:val="en-US" w:eastAsia="zh-CN"/>
              </w:rPr>
            </w:pPr>
          </w:p>
        </w:tc>
        <w:tc>
          <w:tcPr>
            <w:tcW w:w="2376" w:type="dxa"/>
            <w:noWrap w:val="0"/>
            <w:vAlign w:val="top"/>
          </w:tcPr>
          <w:p w14:paraId="7BA3BAF2">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项目实施方案 (4.0分)</w:t>
            </w:r>
          </w:p>
        </w:tc>
        <w:tc>
          <w:tcPr>
            <w:tcW w:w="6789" w:type="dxa"/>
            <w:noWrap w:val="0"/>
            <w:vAlign w:val="top"/>
          </w:tcPr>
          <w:p w14:paraId="137961D0">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根据投标人针对本项目所提供的项目实施方案（不包括售后服务和培训方案），包括但不限于项目到货计划、项目实施计划、项目运输保障、安装调试（如计划步骤、人员安排等）等内容进行评审：</w:t>
            </w:r>
          </w:p>
          <w:p w14:paraId="5A844A47">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（1）投标人针对本项目有明确具体的计划安排、对每个标的设备的运输过程有针对性保障手段、设备到场时的专人安装调试有明确的安排措施，优于或完全满足采购需求得4分；</w:t>
            </w:r>
          </w:p>
          <w:p w14:paraId="53052E91">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（2）投标人针对本项目有明确的计划安排、对设备的运输过程有基本的保障手段、设备到场时的专人安装调试有基本的安排措施，基本满足采购需求得2分；</w:t>
            </w:r>
          </w:p>
          <w:p w14:paraId="28881A13">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（3）投标人针对本项目有简单的计划安排、对设备的运输过程有简单的保障手段、设备到场时的专人安装调试有简单的安排措施，部分满足采购需求得1分；</w:t>
            </w:r>
          </w:p>
          <w:p w14:paraId="7154C4BF">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50261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4" w:hRule="atLeast"/>
        </w:trPr>
        <w:tc>
          <w:tcPr>
            <w:tcW w:w="853" w:type="dxa"/>
            <w:vMerge w:val="continue"/>
            <w:noWrap w:val="0"/>
            <w:vAlign w:val="top"/>
          </w:tcPr>
          <w:p w14:paraId="235BFF99">
            <w:pPr>
              <w:ind w:left="0" w:leftChars="0" w:firstLine="0" w:firstLineChars="0"/>
              <w:jc w:val="both"/>
              <w:rPr>
                <w:rFonts w:hint="eastAsia"/>
                <w:sz w:val="28"/>
                <w:szCs w:val="28"/>
                <w:lang w:val="en-US" w:eastAsia="zh-CN"/>
              </w:rPr>
            </w:pPr>
          </w:p>
        </w:tc>
        <w:tc>
          <w:tcPr>
            <w:tcW w:w="2376" w:type="dxa"/>
            <w:noWrap w:val="0"/>
            <w:vAlign w:val="top"/>
          </w:tcPr>
          <w:p w14:paraId="7668CD10">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rPr>
              <w:t>培训方案 (</w:t>
            </w:r>
            <w:r>
              <w:rPr>
                <w:rFonts w:hint="eastAsia" w:ascii="仿宋" w:hAnsi="仿宋" w:eastAsia="仿宋" w:cs="仿宋"/>
                <w:color w:val="auto"/>
                <w:sz w:val="28"/>
                <w:szCs w:val="28"/>
                <w:highlight w:val="none"/>
                <w:shd w:val="clear" w:color="auto" w:fill="auto"/>
                <w:lang w:val="en-US" w:eastAsia="zh-CN"/>
              </w:rPr>
              <w:t>4</w:t>
            </w:r>
            <w:r>
              <w:rPr>
                <w:rFonts w:hint="eastAsia" w:ascii="仿宋" w:hAnsi="仿宋" w:eastAsia="仿宋" w:cs="仿宋"/>
                <w:color w:val="auto"/>
                <w:sz w:val="28"/>
                <w:szCs w:val="28"/>
                <w:highlight w:val="none"/>
                <w:shd w:val="clear" w:color="auto" w:fill="auto"/>
              </w:rPr>
              <w:t>.0分)</w:t>
            </w:r>
          </w:p>
        </w:tc>
        <w:tc>
          <w:tcPr>
            <w:tcW w:w="6789" w:type="dxa"/>
            <w:noWrap w:val="0"/>
            <w:vAlign w:val="top"/>
          </w:tcPr>
          <w:p w14:paraId="3041243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highlight w:val="none"/>
                <w:shd w:val="clear" w:color="auto" w:fill="auto"/>
                <w:lang w:eastAsia="zh-CN"/>
              </w:rPr>
              <w:t>投标</w:t>
            </w:r>
            <w:r>
              <w:rPr>
                <w:rFonts w:hint="eastAsia" w:ascii="仿宋" w:hAnsi="仿宋" w:eastAsia="仿宋" w:cs="仿宋"/>
                <w:color w:val="auto"/>
                <w:sz w:val="28"/>
                <w:szCs w:val="28"/>
                <w:shd w:val="clear" w:color="auto" w:fill="auto"/>
                <w:lang w:eastAsia="zh-CN"/>
              </w:rPr>
              <w:t>人根据产品特点及保养事项对采购人所使用设备人员提供设备操作及操作过程中注意事项等内容进行培训：</w:t>
            </w:r>
          </w:p>
          <w:p w14:paraId="2C4209B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1）投标人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color w:val="auto"/>
                <w:sz w:val="28"/>
                <w:szCs w:val="28"/>
                <w:shd w:val="clear" w:color="auto" w:fill="auto"/>
                <w:lang w:val="en-US" w:eastAsia="zh-CN"/>
              </w:rPr>
              <w:t>4</w:t>
            </w:r>
            <w:r>
              <w:rPr>
                <w:rFonts w:hint="eastAsia" w:ascii="仿宋" w:hAnsi="仿宋" w:eastAsia="仿宋" w:cs="仿宋"/>
                <w:color w:val="auto"/>
                <w:sz w:val="28"/>
                <w:szCs w:val="28"/>
                <w:shd w:val="clear" w:color="auto" w:fill="auto"/>
                <w:lang w:eastAsia="zh-CN"/>
              </w:rPr>
              <w:t>分；</w:t>
            </w:r>
          </w:p>
          <w:p w14:paraId="40A08A1D">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（2）投标人针对本项目为采购人提供有专人指导和简单上手的设备操作培训课程安排，有简单的课程及培训内容安排，对设备的操作过程中注意事项有基本操作指引，得</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lang w:eastAsia="zh-CN"/>
              </w:rPr>
              <w:t>分；</w:t>
            </w:r>
          </w:p>
          <w:p w14:paraId="4BF471B8">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（3）投标人提供指导和培训课程安排简单含糊，课程及培训内容安排不明确，对操作培训含糊其辞，得</w:t>
            </w:r>
            <w:r>
              <w:rPr>
                <w:rFonts w:hint="eastAsia" w:ascii="仿宋" w:hAnsi="仿宋" w:eastAsia="仿宋" w:cs="仿宋"/>
                <w:color w:val="auto"/>
                <w:sz w:val="28"/>
                <w:szCs w:val="28"/>
                <w:shd w:val="clear" w:color="auto" w:fill="auto"/>
                <w:lang w:val="en-US" w:eastAsia="zh-CN"/>
              </w:rPr>
              <w:t>1</w:t>
            </w:r>
            <w:r>
              <w:rPr>
                <w:rFonts w:hint="eastAsia" w:ascii="仿宋" w:hAnsi="仿宋" w:eastAsia="仿宋" w:cs="仿宋"/>
                <w:color w:val="auto"/>
                <w:sz w:val="28"/>
                <w:szCs w:val="28"/>
                <w:shd w:val="clear" w:color="auto" w:fill="auto"/>
                <w:lang w:eastAsia="zh-CN"/>
              </w:rPr>
              <w:t xml:space="preserve">分； </w:t>
            </w:r>
          </w:p>
          <w:p w14:paraId="7C73AE12">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eastAsia="zh-CN"/>
              </w:rPr>
              <w:t>（4）不提供的不得分。</w:t>
            </w:r>
          </w:p>
        </w:tc>
      </w:tr>
      <w:tr w14:paraId="1CBF7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8" w:hRule="atLeast"/>
        </w:trPr>
        <w:tc>
          <w:tcPr>
            <w:tcW w:w="853" w:type="dxa"/>
            <w:vMerge w:val="restart"/>
            <w:noWrap w:val="0"/>
            <w:vAlign w:val="top"/>
          </w:tcPr>
          <w:p w14:paraId="30921E62">
            <w:pPr>
              <w:ind w:left="0" w:leftChars="0"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商务部分</w:t>
            </w:r>
          </w:p>
        </w:tc>
        <w:tc>
          <w:tcPr>
            <w:tcW w:w="2376" w:type="dxa"/>
            <w:noWrap w:val="0"/>
            <w:vAlign w:val="top"/>
          </w:tcPr>
          <w:p w14:paraId="06FB5BF2">
            <w:pPr>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lang w:val="en-US" w:eastAsia="zh-CN"/>
              </w:rPr>
              <w:t>投标人的信用、体系认证情况（1.0分）</w:t>
            </w:r>
          </w:p>
        </w:tc>
        <w:tc>
          <w:tcPr>
            <w:tcW w:w="6789" w:type="dxa"/>
            <w:noWrap w:val="0"/>
            <w:vAlign w:val="center"/>
          </w:tcPr>
          <w:p w14:paraId="5537A39F">
            <w:pPr>
              <w:keepNext w:val="0"/>
              <w:keepLines w:val="0"/>
              <w:suppressLineNumbers w:val="0"/>
              <w:snapToGrid w:val="0"/>
              <w:spacing w:before="0" w:beforeAutospacing="0" w:after="0" w:afterAutospacing="0" w:line="276"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rPr>
              <w:t>投标人具有有效期内的有效的质量管理体系认证证书，提供认证证书扫描件</w:t>
            </w:r>
            <w:r>
              <w:rPr>
                <w:rFonts w:hint="eastAsia" w:ascii="仿宋" w:hAnsi="仿宋" w:eastAsia="仿宋" w:cs="仿宋"/>
                <w:color w:val="auto"/>
                <w:sz w:val="28"/>
                <w:szCs w:val="28"/>
                <w:shd w:val="clear" w:color="auto" w:fill="auto"/>
                <w:lang w:eastAsia="zh-CN"/>
              </w:rPr>
              <w:t>得</w:t>
            </w:r>
            <w:r>
              <w:rPr>
                <w:rFonts w:hint="eastAsia" w:ascii="仿宋" w:hAnsi="仿宋" w:eastAsia="仿宋" w:cs="仿宋"/>
                <w:color w:val="auto"/>
                <w:sz w:val="28"/>
                <w:szCs w:val="28"/>
                <w:shd w:val="clear" w:color="auto" w:fill="auto"/>
                <w:lang w:val="en-US" w:eastAsia="zh-CN"/>
              </w:rPr>
              <w:t>1分</w:t>
            </w:r>
            <w:r>
              <w:rPr>
                <w:rFonts w:hint="eastAsia" w:ascii="仿宋" w:hAnsi="仿宋" w:eastAsia="仿宋" w:cs="仿宋"/>
                <w:color w:val="auto"/>
                <w:sz w:val="28"/>
                <w:szCs w:val="28"/>
                <w:shd w:val="clear" w:color="auto" w:fill="auto"/>
              </w:rPr>
              <w:t>，不提供不得分。</w:t>
            </w:r>
          </w:p>
        </w:tc>
      </w:tr>
      <w:tr w14:paraId="69E82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258E4160">
            <w:pPr>
              <w:ind w:left="0" w:leftChars="0" w:firstLine="0" w:firstLineChars="0"/>
              <w:jc w:val="both"/>
              <w:rPr>
                <w:rFonts w:hint="eastAsia" w:ascii="仿宋" w:hAnsi="仿宋" w:eastAsia="仿宋" w:cs="仿宋"/>
                <w:sz w:val="28"/>
                <w:szCs w:val="28"/>
              </w:rPr>
            </w:pPr>
          </w:p>
        </w:tc>
        <w:tc>
          <w:tcPr>
            <w:tcW w:w="2376" w:type="dxa"/>
            <w:noWrap w:val="0"/>
            <w:vAlign w:val="top"/>
          </w:tcPr>
          <w:p w14:paraId="71B9BF84">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售后服务人员配置（2.0分）</w:t>
            </w:r>
          </w:p>
        </w:tc>
        <w:tc>
          <w:tcPr>
            <w:tcW w:w="6789" w:type="dxa"/>
            <w:noWrap w:val="0"/>
            <w:vAlign w:val="top"/>
          </w:tcPr>
          <w:p w14:paraId="142DE0CE">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rPr>
              <w:t>投标人</w:t>
            </w:r>
            <w:r>
              <w:rPr>
                <w:rFonts w:hint="eastAsia" w:ascii="仿宋" w:hAnsi="仿宋" w:eastAsia="仿宋" w:cs="仿宋"/>
                <w:color w:val="auto"/>
                <w:sz w:val="28"/>
                <w:szCs w:val="28"/>
                <w:shd w:val="clear" w:color="auto" w:fill="auto"/>
                <w:lang w:eastAsia="zh-CN"/>
              </w:rPr>
              <w:t>售后服务人员</w:t>
            </w:r>
            <w:r>
              <w:rPr>
                <w:rFonts w:hint="eastAsia" w:ascii="仿宋" w:hAnsi="仿宋" w:eastAsia="仿宋" w:cs="仿宋"/>
                <w:color w:val="auto"/>
                <w:sz w:val="28"/>
                <w:szCs w:val="28"/>
                <w:shd w:val="clear" w:color="auto" w:fill="auto"/>
              </w:rPr>
              <w:t>具备2年</w:t>
            </w:r>
            <w:r>
              <w:rPr>
                <w:rFonts w:hint="eastAsia" w:ascii="仿宋" w:hAnsi="仿宋" w:eastAsia="仿宋" w:cs="仿宋"/>
                <w:color w:val="auto"/>
                <w:sz w:val="28"/>
                <w:szCs w:val="28"/>
                <w:shd w:val="clear" w:color="auto" w:fill="auto"/>
                <w:lang w:eastAsia="zh-CN"/>
              </w:rPr>
              <w:t>或以上</w:t>
            </w:r>
            <w:r>
              <w:rPr>
                <w:rFonts w:hint="eastAsia" w:ascii="仿宋" w:hAnsi="仿宋" w:eastAsia="仿宋" w:cs="仿宋"/>
                <w:color w:val="auto"/>
                <w:sz w:val="28"/>
                <w:szCs w:val="28"/>
                <w:shd w:val="clear" w:color="auto" w:fill="auto"/>
              </w:rPr>
              <w:t>医疗设备维修及管理经验的，每提供一个得</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本小项最高得</w:t>
            </w:r>
            <w:r>
              <w:rPr>
                <w:rFonts w:hint="eastAsia" w:ascii="仿宋" w:hAnsi="仿宋" w:eastAsia="仿宋" w:cs="仿宋"/>
                <w:color w:val="auto"/>
                <w:sz w:val="28"/>
                <w:szCs w:val="28"/>
                <w:shd w:val="clear" w:color="auto" w:fill="auto"/>
                <w:lang w:val="en-US" w:eastAsia="zh-CN"/>
              </w:rPr>
              <w:t>2.0</w:t>
            </w:r>
            <w:r>
              <w:rPr>
                <w:rFonts w:hint="eastAsia" w:ascii="仿宋" w:hAnsi="仿宋" w:eastAsia="仿宋" w:cs="仿宋"/>
                <w:color w:val="auto"/>
                <w:sz w:val="28"/>
                <w:szCs w:val="28"/>
                <w:shd w:val="clear" w:color="auto" w:fill="auto"/>
              </w:rPr>
              <w:t>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p>
        </w:tc>
      </w:tr>
      <w:tr w14:paraId="6996D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0914BF1">
            <w:pPr>
              <w:rPr>
                <w:sz w:val="28"/>
                <w:szCs w:val="28"/>
              </w:rPr>
            </w:pPr>
          </w:p>
        </w:tc>
        <w:tc>
          <w:tcPr>
            <w:tcW w:w="2376" w:type="dxa"/>
            <w:noWrap w:val="0"/>
            <w:vAlign w:val="top"/>
          </w:tcPr>
          <w:p w14:paraId="2DC8E180">
            <w:pPr>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同类项目</w:t>
            </w:r>
            <w:r>
              <w:rPr>
                <w:rFonts w:hint="eastAsia" w:ascii="仿宋" w:hAnsi="仿宋" w:eastAsia="仿宋" w:cs="仿宋"/>
                <w:sz w:val="28"/>
                <w:szCs w:val="28"/>
                <w:lang w:val="en-US" w:eastAsia="zh-CN"/>
              </w:rPr>
              <w:t>业绩</w:t>
            </w:r>
            <w:r>
              <w:rPr>
                <w:rFonts w:hint="eastAsia" w:ascii="仿宋" w:hAnsi="仿宋" w:eastAsia="仿宋" w:cs="仿宋"/>
                <w:sz w:val="28"/>
                <w:szCs w:val="28"/>
              </w:rPr>
              <w:t>情况 (</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6789" w:type="dxa"/>
            <w:noWrap w:val="0"/>
            <w:vAlign w:val="top"/>
          </w:tcPr>
          <w:p w14:paraId="59F767C8">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投标人同类婴儿转运培养箱设备供货业绩的评审（3.0分）：2023年1月1日至今投标人具有同类设备供货项目业绩，每提供1个业绩，得1.0分，最高得3.0分 (提供合同复印件，以签订合同的时间为准，不提供不得分）</w:t>
            </w:r>
          </w:p>
        </w:tc>
      </w:tr>
      <w:tr w14:paraId="60F37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4E305FE0">
            <w:pPr>
              <w:rPr>
                <w:sz w:val="28"/>
                <w:szCs w:val="28"/>
              </w:rPr>
            </w:pPr>
          </w:p>
        </w:tc>
        <w:tc>
          <w:tcPr>
            <w:tcW w:w="2376" w:type="dxa"/>
            <w:noWrap w:val="0"/>
            <w:vAlign w:val="top"/>
          </w:tcPr>
          <w:p w14:paraId="02B601D8">
            <w:pPr>
              <w:pStyle w:val="7"/>
              <w:jc w:val="left"/>
              <w:rPr>
                <w:rFonts w:hint="eastAsia" w:ascii="仿宋" w:hAnsi="仿宋" w:eastAsia="仿宋" w:cs="仿宋"/>
                <w:sz w:val="28"/>
                <w:szCs w:val="28"/>
              </w:rPr>
            </w:pPr>
            <w:r>
              <w:rPr>
                <w:rFonts w:hint="eastAsia" w:ascii="仿宋" w:hAnsi="仿宋" w:eastAsia="仿宋" w:cs="仿宋"/>
                <w:sz w:val="28"/>
                <w:szCs w:val="28"/>
              </w:rPr>
              <w:t>产品授权证明 (</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tc>
        <w:tc>
          <w:tcPr>
            <w:tcW w:w="6789" w:type="dxa"/>
            <w:noWrap w:val="0"/>
            <w:vAlign w:val="top"/>
          </w:tcPr>
          <w:p w14:paraId="006D5C97">
            <w:pPr>
              <w:pStyle w:val="7"/>
              <w:keepNext w:val="0"/>
              <w:keepLines w:val="0"/>
              <w:pageBreakBefore w:val="0"/>
              <w:widowControl/>
              <w:kinsoku/>
              <w:wordWrap/>
              <w:overflowPunct/>
              <w:topLinePunct w:val="0"/>
              <w:autoSpaceDE/>
              <w:autoSpaceDN/>
              <w:bidi w:val="0"/>
              <w:adjustRightInd/>
              <w:snapToGrid/>
              <w:spacing w:line="440" w:lineRule="exact"/>
              <w:ind w:firstLine="574"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auto"/>
                <w:kern w:val="2"/>
                <w:sz w:val="28"/>
                <w:szCs w:val="28"/>
                <w:shd w:val="clear" w:color="auto" w:fill="auto"/>
                <w:lang w:val="en-US" w:eastAsia="zh-CN" w:bidi="ar-SA"/>
              </w:rPr>
              <w:t>为了保证核心产品具有追溯性且保证质量，投标人为代理商投标响应的，提供生产企业出具的有效授权证明，得2.0分，若投标人为生产企业投标的（需提供相关证明文件）也得2.0分，其他不得分。</w:t>
            </w:r>
          </w:p>
        </w:tc>
      </w:tr>
      <w:tr w14:paraId="6491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E70DEAD">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6A4F4A78">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tc>
        <w:tc>
          <w:tcPr>
            <w:tcW w:w="6789" w:type="dxa"/>
            <w:noWrap w:val="0"/>
            <w:vAlign w:val="top"/>
          </w:tcPr>
          <w:p w14:paraId="172F97BB">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
                <w:lang w:eastAsia="zh-CN"/>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r w14:paraId="3AECD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3" w:hRule="atLeast"/>
        </w:trPr>
        <w:tc>
          <w:tcPr>
            <w:tcW w:w="10018" w:type="dxa"/>
            <w:gridSpan w:val="3"/>
            <w:noWrap w:val="0"/>
            <w:vAlign w:val="top"/>
          </w:tcPr>
          <w:p w14:paraId="3C3EE849">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heme="minorBidi"/>
                <w:b w:val="0"/>
                <w:bCs w:val="0"/>
                <w:color w:val="auto"/>
                <w:sz w:val="28"/>
                <w:szCs w:val="28"/>
              </w:rPr>
            </w:pPr>
            <w:r>
              <w:rPr>
                <w:rFonts w:hint="eastAsia" w:ascii="仿宋" w:hAnsi="仿宋" w:eastAsia="仿宋" w:cs="仿宋"/>
                <w:bCs w:val="0"/>
                <w:color w:val="auto"/>
                <w:spacing w:val="0"/>
                <w:kern w:val="2"/>
                <w:sz w:val="28"/>
                <w:szCs w:val="28"/>
                <w:shd w:val="clear" w:color="auto" w:fill="auto"/>
                <w:lang w:val="en-US" w:eastAsia="zh-CN" w:bidi="ar-SA"/>
              </w:rPr>
              <w:t>说明：打“★”号条款为实质性条款，若有任何一条负偏离或不满足则导致投标无效。</w:t>
            </w:r>
            <w:r>
              <w:rPr>
                <w:rFonts w:hint="eastAsia" w:ascii="仿宋" w:hAnsi="仿宋" w:eastAsia="仿宋" w:cs="仿宋"/>
                <w:bCs w:val="0"/>
                <w:color w:val="auto"/>
                <w:spacing w:val="0"/>
                <w:kern w:val="2"/>
                <w:sz w:val="28"/>
                <w:szCs w:val="28"/>
                <w:shd w:val="clear" w:color="auto" w:fill="auto"/>
                <w:lang w:val="en-US" w:eastAsia="zh-CN" w:bidi="ar-SA"/>
              </w:rPr>
              <w:br w:type="textWrapping"/>
            </w:r>
            <w:r>
              <w:rPr>
                <w:rFonts w:hint="eastAsia" w:ascii="仿宋" w:hAnsi="仿宋" w:eastAsia="仿宋" w:cs="仿宋"/>
                <w:bCs w:val="0"/>
                <w:color w:val="auto"/>
                <w:spacing w:val="0"/>
                <w:kern w:val="2"/>
                <w:sz w:val="28"/>
                <w:szCs w:val="28"/>
                <w:shd w:val="clear" w:color="auto" w:fill="auto"/>
                <w:lang w:val="en-US" w:eastAsia="zh-CN" w:bidi="ar-SA"/>
              </w:rPr>
              <w:t xml:space="preserve">     打“▲”号条款为重要技术参数，若有部分“▲”条款未响应或不满足，将导致其响应性评审加重扣分，但不作为无效投标条款。</w:t>
            </w:r>
          </w:p>
        </w:tc>
      </w:tr>
    </w:tbl>
    <w:p w14:paraId="44F13C6E">
      <w:pPr>
        <w:ind w:left="0" w:leftChars="0" w:firstLine="0" w:firstLineChars="0"/>
      </w:pPr>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4"/>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4"/>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36A3E"/>
    <w:multiLevelType w:val="singleLevel"/>
    <w:tmpl w:val="B5136A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12933"/>
    <w:rsid w:val="23CF16CE"/>
    <w:rsid w:val="27480EC4"/>
    <w:rsid w:val="554177EE"/>
    <w:rsid w:val="5F16108D"/>
    <w:rsid w:val="60D300EA"/>
    <w:rsid w:val="650A67C2"/>
    <w:rsid w:val="65972C14"/>
    <w:rsid w:val="716E3926"/>
    <w:rsid w:val="72841432"/>
    <w:rsid w:val="78FA1EA3"/>
    <w:rsid w:val="7EFE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3"/>
    <w:basedOn w:val="1"/>
    <w:next w:val="1"/>
    <w:unhideWhenUsed/>
    <w:qFormat/>
    <w:uiPriority w:val="0"/>
    <w:pPr>
      <w:keepNext/>
      <w:keepLines/>
      <w:spacing w:before="260" w:after="260" w:line="416" w:lineRule="atLeast"/>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napToGrid w:val="0"/>
      <w:spacing w:before="25" w:after="25"/>
    </w:pPr>
    <w:rPr>
      <w:rFonts w:ascii="Calibri" w:hAnsi="Calibri" w:eastAsia="Calibri"/>
      <w:bCs/>
      <w:spacing w:val="10"/>
      <w:sz w:val="24"/>
      <w:szCs w:val="20"/>
      <w:lang w:eastAsia="en-US"/>
    </w:r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2026-07-01T06:53:00Z</dcterms:created>
  <dc:creator>Administrator</dc:creator>
  <cp:lastModifiedBy>Administrator</cp:lastModifiedBy>
  <dcterms:modified xsi:type="dcterms:W3CDTF">2026-07-01T07:12:19Z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B677B6262770436C9926F97876126DC2_12</vt:lpwstr>
  </property>
</Properties>
</file>