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ECD2F">
      <w:pPr>
        <w:ind w:firstLine="0"/>
        <w:rPr>
          <w:rFonts w:hint="eastAsia" w:ascii="仿宋_GB2312" w:hAnsi="仿宋_GB2312" w:cs="仿宋_GB2312"/>
          <w:b/>
          <w:bCs/>
        </w:rPr>
      </w:pPr>
      <w:r>
        <w:rPr>
          <w:rFonts w:hint="eastAsia"/>
          <w:b/>
          <w:bCs/>
        </w:rPr>
        <w:t>附件</w:t>
      </w:r>
      <w:r>
        <w:rPr>
          <w:rFonts w:hint="eastAsia"/>
          <w:b/>
          <w:bCs/>
          <w:lang w:val="en-US" w:eastAsia="zh-CN"/>
        </w:rPr>
        <w:t>4</w:t>
      </w:r>
      <w:bookmarkStart w:id="0" w:name="_GoBack"/>
      <w:bookmarkEnd w:id="0"/>
      <w:r>
        <w:rPr>
          <w:rFonts w:hint="eastAsia" w:ascii="仿宋_GB2312" w:hAnsi="仿宋_GB2312" w:cs="仿宋_GB2312"/>
          <w:b/>
          <w:bCs/>
        </w:rPr>
        <w:t>：</w:t>
      </w:r>
    </w:p>
    <w:p w14:paraId="5A361A32">
      <w:pPr>
        <w:ind w:firstLine="0"/>
        <w:jc w:val="center"/>
        <w:rPr>
          <w:rFonts w:hint="eastAsia" w:ascii="方正小标宋简体" w:eastAsia="方正小标宋简体"/>
          <w:sz w:val="44"/>
          <w:szCs w:val="44"/>
        </w:rPr>
      </w:pPr>
      <w:r>
        <w:rPr>
          <w:rFonts w:hint="eastAsia" w:ascii="方正小标宋简体" w:eastAsia="方正小标宋简体"/>
          <w:sz w:val="44"/>
          <w:szCs w:val="44"/>
        </w:rPr>
        <w:t>便携式视频脑电图仪技术要求及具体</w:t>
      </w:r>
    </w:p>
    <w:p w14:paraId="3A3B0F4E">
      <w:pPr>
        <w:ind w:firstLine="0"/>
        <w:jc w:val="center"/>
        <w:rPr>
          <w:rFonts w:hint="eastAsia" w:ascii="方正小标宋简体" w:eastAsia="方正小标宋简体"/>
          <w:sz w:val="44"/>
          <w:szCs w:val="44"/>
        </w:rPr>
      </w:pPr>
      <w:r>
        <w:rPr>
          <w:rFonts w:hint="eastAsia" w:ascii="方正小标宋简体" w:eastAsia="方正小标宋简体"/>
          <w:sz w:val="44"/>
          <w:szCs w:val="44"/>
        </w:rPr>
        <w:t>评审标准</w:t>
      </w:r>
    </w:p>
    <w:p w14:paraId="3A2C0485">
      <w:pPr>
        <w:rPr>
          <w:rFonts w:hint="eastAsia" w:eastAsia="方正小标宋简体"/>
          <w:lang w:eastAsia="zh-CN"/>
        </w:rPr>
      </w:pPr>
      <w:r>
        <w:rPr>
          <w:rFonts w:hint="eastAsia" w:ascii="宋体" w:hAnsi="宋体" w:eastAsia="宋体" w:cs="宋体"/>
          <w:b/>
          <w:bCs/>
          <w:sz w:val="32"/>
          <w:szCs w:val="32"/>
          <w:lang w:eastAsia="zh-CN"/>
        </w:rPr>
        <w:t>一、便携式视频脑电图仪技术要求</w:t>
      </w:r>
    </w:p>
    <w:tbl>
      <w:tblPr>
        <w:tblStyle w:val="11"/>
        <w:tblW w:w="88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73"/>
        <w:gridCol w:w="673"/>
        <w:gridCol w:w="6993"/>
      </w:tblGrid>
      <w:tr w14:paraId="59EB6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1173" w:type="dxa"/>
            <w:vAlign w:val="center"/>
          </w:tcPr>
          <w:p w14:paraId="31EFA2DB">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参数性质</w:t>
            </w:r>
          </w:p>
        </w:tc>
        <w:tc>
          <w:tcPr>
            <w:tcW w:w="673" w:type="dxa"/>
            <w:vAlign w:val="center"/>
          </w:tcPr>
          <w:p w14:paraId="2F07ECB6">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序号</w:t>
            </w:r>
          </w:p>
        </w:tc>
        <w:tc>
          <w:tcPr>
            <w:tcW w:w="6993" w:type="dxa"/>
            <w:vAlign w:val="center"/>
          </w:tcPr>
          <w:p w14:paraId="0AC7F8A0">
            <w:pPr>
              <w:keepNext w:val="0"/>
              <w:keepLines w:val="0"/>
              <w:suppressLineNumbers w:val="0"/>
              <w:spacing w:before="0" w:beforeAutospacing="0" w:after="0" w:afterAutospacing="0" w:line="240" w:lineRule="auto"/>
              <w:ind w:left="0" w:right="0" w:firstLine="0"/>
              <w:jc w:val="center"/>
              <w:rPr>
                <w:rFonts w:hint="default" w:asciiTheme="minorHAnsi" w:hAnsiTheme="minorHAnsi" w:eastAsiaTheme="minorEastAsia" w:cstheme="minorBidi"/>
                <w:b/>
                <w:bCs/>
                <w:color w:val="auto"/>
                <w:sz w:val="21"/>
                <w:szCs w:val="24"/>
                <w:highlight w:val="none"/>
              </w:rPr>
            </w:pPr>
            <w:r>
              <w:rPr>
                <w:rFonts w:hint="default" w:asciiTheme="minorHAnsi" w:hAnsiTheme="minorHAnsi" w:eastAsiaTheme="minorEastAsia" w:cstheme="minorBidi"/>
                <w:b/>
                <w:bCs/>
                <w:color w:val="auto"/>
                <w:sz w:val="21"/>
                <w:szCs w:val="24"/>
                <w:highlight w:val="none"/>
              </w:rPr>
              <w:t>具体技术(参数)要求</w:t>
            </w:r>
          </w:p>
        </w:tc>
      </w:tr>
      <w:tr w14:paraId="75616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32F90BC">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2"/>
                <w:szCs w:val="22"/>
                <w:highlight w:val="none"/>
              </w:rPr>
              <w:t>★</w:t>
            </w:r>
          </w:p>
        </w:tc>
        <w:tc>
          <w:tcPr>
            <w:tcW w:w="673" w:type="dxa"/>
            <w:vAlign w:val="center"/>
          </w:tcPr>
          <w:p w14:paraId="505D3A08">
            <w:pPr>
              <w:keepNext w:val="0"/>
              <w:keepLines w:val="0"/>
              <w:suppressLineNumbers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2"/>
                <w:szCs w:val="22"/>
                <w:highlight w:val="none"/>
              </w:rPr>
              <w:t>1</w:t>
            </w:r>
          </w:p>
        </w:tc>
        <w:tc>
          <w:tcPr>
            <w:tcW w:w="6993" w:type="dxa"/>
            <w:vAlign w:val="center"/>
          </w:tcPr>
          <w:p w14:paraId="08FA5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2"/>
                <w:szCs w:val="22"/>
                <w:highlight w:val="none"/>
                <w:lang w:eastAsia="zh-CN"/>
              </w:rPr>
              <w:t>一、</w:t>
            </w:r>
            <w:r>
              <w:rPr>
                <w:rFonts w:hint="eastAsia" w:ascii="方正仿宋_GB2312" w:hAnsi="方正仿宋_GB2312" w:eastAsia="方正仿宋_GB2312" w:cs="方正仿宋_GB2312"/>
                <w:b/>
                <w:bCs/>
                <w:color w:val="auto"/>
                <w:sz w:val="22"/>
                <w:szCs w:val="22"/>
                <w:highlight w:val="none"/>
                <w:lang w:eastAsia="zh-CN"/>
              </w:rPr>
              <w:t>总体要求：</w:t>
            </w:r>
            <w:r>
              <w:rPr>
                <w:rFonts w:hint="eastAsia" w:ascii="方正仿宋_GB2312" w:hAnsi="方正仿宋_GB2312" w:eastAsia="方正仿宋_GB2312" w:cs="方正仿宋_GB2312"/>
                <w:color w:val="auto"/>
                <w:sz w:val="22"/>
                <w:szCs w:val="22"/>
                <w:highlight w:val="none"/>
                <w:lang w:val="en-US" w:eastAsia="zh-CN"/>
              </w:rPr>
              <w:t>1、</w:t>
            </w:r>
            <w:r>
              <w:rPr>
                <w:rFonts w:hint="eastAsia" w:ascii="方正仿宋_GB2312" w:hAnsi="方正仿宋_GB2312" w:eastAsia="方正仿宋_GB2312" w:cs="方正仿宋_GB2312"/>
                <w:b w:val="0"/>
                <w:bCs w:val="0"/>
                <w:color w:val="auto"/>
                <w:sz w:val="22"/>
                <w:szCs w:val="22"/>
                <w:highlight w:val="none"/>
              </w:rPr>
              <w:t>便携式</w:t>
            </w:r>
            <w:r>
              <w:rPr>
                <w:rFonts w:hint="eastAsia" w:ascii="方正仿宋_GB2312" w:hAnsi="方正仿宋_GB2312" w:eastAsia="方正仿宋_GB2312" w:cs="方正仿宋_GB2312"/>
                <w:color w:val="auto"/>
                <w:sz w:val="22"/>
                <w:szCs w:val="22"/>
                <w:highlight w:val="none"/>
                <w:lang w:val="en-US" w:eastAsia="zh-CN"/>
              </w:rPr>
              <w:t>视频脑电图仪</w:t>
            </w:r>
            <w:r>
              <w:rPr>
                <w:rFonts w:hint="eastAsia" w:ascii="方正仿宋_GB2312" w:hAnsi="方正仿宋_GB2312" w:eastAsia="方正仿宋_GB2312" w:cs="方正仿宋_GB2312"/>
                <w:color w:val="auto"/>
                <w:sz w:val="22"/>
                <w:szCs w:val="22"/>
                <w:highlight w:val="none"/>
                <w:lang w:eastAsia="zh-CN"/>
              </w:rPr>
              <w:t>具有有效的医疗器械注册证明（提供注册证明文件）。</w:t>
            </w:r>
          </w:p>
        </w:tc>
      </w:tr>
      <w:tr w14:paraId="6A295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1173" w:type="dxa"/>
            <w:vAlign w:val="center"/>
          </w:tcPr>
          <w:p w14:paraId="2472D14F">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2"/>
                <w:szCs w:val="22"/>
                <w:highlight w:val="none"/>
              </w:rPr>
              <w:t>★</w:t>
            </w:r>
          </w:p>
        </w:tc>
        <w:tc>
          <w:tcPr>
            <w:tcW w:w="673" w:type="dxa"/>
            <w:vAlign w:val="center"/>
          </w:tcPr>
          <w:p w14:paraId="475222BB">
            <w:pPr>
              <w:keepNext w:val="0"/>
              <w:keepLines w:val="0"/>
              <w:suppressLineNumbers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w:t>
            </w:r>
          </w:p>
        </w:tc>
        <w:tc>
          <w:tcPr>
            <w:tcW w:w="6993" w:type="dxa"/>
            <w:vAlign w:val="center"/>
          </w:tcPr>
          <w:p w14:paraId="2538A53A">
            <w:pPr>
              <w:keepNext w:val="0"/>
              <w:keepLines w:val="0"/>
              <w:suppressLineNumbers w:val="0"/>
              <w:spacing w:before="0" w:beforeAutospacing="0" w:after="0" w:afterAutospacing="0" w:line="360" w:lineRule="exact"/>
              <w:ind w:left="0" w:leftChars="0" w:right="0" w:rightChars="0" w:firstLine="0" w:firstLineChars="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2、适用范围</w:t>
            </w:r>
            <w:r>
              <w:rPr>
                <w:rFonts w:hint="eastAsia" w:ascii="方正仿宋_GB2312" w:hAnsi="方正仿宋_GB2312" w:eastAsia="方正仿宋_GB2312" w:cs="方正仿宋_GB2312"/>
                <w:b/>
                <w:bCs/>
                <w:color w:val="auto"/>
                <w:sz w:val="22"/>
                <w:szCs w:val="22"/>
                <w:highlight w:val="none"/>
                <w:lang w:val="en-US" w:eastAsia="zh-CN"/>
              </w:rPr>
              <w:t>：</w:t>
            </w:r>
            <w:r>
              <w:rPr>
                <w:rFonts w:hint="eastAsia" w:ascii="方正仿宋_GB2312" w:hAnsi="方正仿宋_GB2312" w:eastAsia="方正仿宋_GB2312" w:cs="方正仿宋_GB2312"/>
                <w:b w:val="0"/>
                <w:bCs w:val="0"/>
                <w:color w:val="auto"/>
                <w:sz w:val="22"/>
                <w:szCs w:val="22"/>
                <w:highlight w:val="none"/>
                <w:lang w:val="en-US" w:eastAsia="zh-CN"/>
              </w:rPr>
              <w:t>适用于医疗机构对人体脑电生理信号进行采集、处理、显示和储存；</w:t>
            </w:r>
            <w:r>
              <w:rPr>
                <w:rFonts w:hint="eastAsia" w:ascii="方正仿宋_GB2312" w:hAnsi="方正仿宋_GB2312" w:eastAsia="方正仿宋_GB2312" w:cs="方正仿宋_GB2312"/>
                <w:color w:val="auto"/>
                <w:sz w:val="22"/>
                <w:szCs w:val="22"/>
                <w:highlight w:val="none"/>
                <w:lang w:val="en-US" w:eastAsia="zh-CN"/>
              </w:rPr>
              <w:t>无专机专用耗材；</w:t>
            </w:r>
          </w:p>
        </w:tc>
      </w:tr>
      <w:tr w14:paraId="1ABC1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trPr>
        <w:tc>
          <w:tcPr>
            <w:tcW w:w="1173" w:type="dxa"/>
            <w:vAlign w:val="center"/>
          </w:tcPr>
          <w:p w14:paraId="68694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2"/>
                <w:szCs w:val="22"/>
                <w:highlight w:val="none"/>
              </w:rPr>
              <w:t>★</w:t>
            </w:r>
          </w:p>
        </w:tc>
        <w:tc>
          <w:tcPr>
            <w:tcW w:w="673" w:type="dxa"/>
            <w:vAlign w:val="center"/>
          </w:tcPr>
          <w:p w14:paraId="6315E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w:t>
            </w:r>
          </w:p>
        </w:tc>
        <w:tc>
          <w:tcPr>
            <w:tcW w:w="6993" w:type="dxa"/>
            <w:vAlign w:val="center"/>
          </w:tcPr>
          <w:p w14:paraId="1B97E2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3、保修期≥5年，故障发生后2小时内响应，保期内提供每年至少一次的预防性维护，费用均包含在投标报价中；</w:t>
            </w:r>
          </w:p>
        </w:tc>
      </w:tr>
      <w:tr w14:paraId="227AD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47759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673" w:type="dxa"/>
            <w:vAlign w:val="center"/>
          </w:tcPr>
          <w:p w14:paraId="18540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4</w:t>
            </w:r>
          </w:p>
        </w:tc>
        <w:tc>
          <w:tcPr>
            <w:tcW w:w="6993" w:type="dxa"/>
            <w:vAlign w:val="center"/>
          </w:tcPr>
          <w:p w14:paraId="15FBAD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4、设备主机使用年限≥8年，（提供同型号产品铭牌/标签或使用说明书等证明）；</w:t>
            </w:r>
          </w:p>
        </w:tc>
      </w:tr>
      <w:tr w14:paraId="0AB04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1173" w:type="dxa"/>
            <w:vAlign w:val="center"/>
          </w:tcPr>
          <w:p w14:paraId="096B8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673" w:type="dxa"/>
            <w:vAlign w:val="center"/>
          </w:tcPr>
          <w:p w14:paraId="3100A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5</w:t>
            </w:r>
          </w:p>
        </w:tc>
        <w:tc>
          <w:tcPr>
            <w:tcW w:w="6993" w:type="dxa"/>
            <w:vAlign w:val="center"/>
          </w:tcPr>
          <w:p w14:paraId="7ED2BE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5、设备交货日期不得超过生产日期后6个月；</w:t>
            </w:r>
          </w:p>
        </w:tc>
      </w:tr>
      <w:tr w14:paraId="45574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726E1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2"/>
                <w:szCs w:val="22"/>
                <w:highlight w:val="none"/>
              </w:rPr>
              <w:t>★</w:t>
            </w:r>
          </w:p>
        </w:tc>
        <w:tc>
          <w:tcPr>
            <w:tcW w:w="673" w:type="dxa"/>
            <w:vAlign w:val="center"/>
          </w:tcPr>
          <w:p w14:paraId="00680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6</w:t>
            </w:r>
          </w:p>
        </w:tc>
        <w:tc>
          <w:tcPr>
            <w:tcW w:w="6993" w:type="dxa"/>
            <w:vAlign w:val="center"/>
          </w:tcPr>
          <w:p w14:paraId="07340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6、所投设备为非召回、非停产设备；</w:t>
            </w:r>
          </w:p>
        </w:tc>
      </w:tr>
      <w:tr w14:paraId="731C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trPr>
        <w:tc>
          <w:tcPr>
            <w:tcW w:w="1173" w:type="dxa"/>
            <w:vAlign w:val="center"/>
          </w:tcPr>
          <w:p w14:paraId="21C7A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673" w:type="dxa"/>
            <w:vAlign w:val="center"/>
          </w:tcPr>
          <w:p w14:paraId="0D5D3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7</w:t>
            </w:r>
          </w:p>
        </w:tc>
        <w:tc>
          <w:tcPr>
            <w:tcW w:w="6993" w:type="dxa"/>
            <w:vAlign w:val="center"/>
          </w:tcPr>
          <w:p w14:paraId="6B05B8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7、可连接医院的东华HIS系统，连接系统所需的一切费用均包含在报价中；</w:t>
            </w:r>
          </w:p>
        </w:tc>
      </w:tr>
      <w:tr w14:paraId="1DBF1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13BE9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5D605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8</w:t>
            </w:r>
          </w:p>
        </w:tc>
        <w:tc>
          <w:tcPr>
            <w:tcW w:w="6993" w:type="dxa"/>
            <w:vAlign w:val="center"/>
          </w:tcPr>
          <w:p w14:paraId="5D0F4E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b/>
                <w:bCs/>
                <w:color w:val="auto"/>
                <w:sz w:val="22"/>
                <w:szCs w:val="22"/>
                <w:highlight w:val="none"/>
                <w:lang w:val="en-US" w:eastAsia="zh-CN"/>
              </w:rPr>
            </w:pPr>
            <w:r>
              <w:rPr>
                <w:rFonts w:hint="eastAsia" w:ascii="方正仿宋_GB2312" w:hAnsi="方正仿宋_GB2312" w:eastAsia="方正仿宋_GB2312" w:cs="方正仿宋_GB2312"/>
                <w:b/>
                <w:bCs/>
                <w:color w:val="auto"/>
                <w:kern w:val="2"/>
                <w:sz w:val="22"/>
                <w:szCs w:val="22"/>
                <w:highlight w:val="none"/>
                <w:lang w:val="en-US" w:eastAsia="zh-CN" w:bidi="ar-SA"/>
              </w:rPr>
              <w:t>二、主要</w:t>
            </w:r>
            <w:r>
              <w:rPr>
                <w:rFonts w:hint="eastAsia" w:ascii="方正仿宋_GB2312" w:hAnsi="方正仿宋_GB2312" w:eastAsia="方正仿宋_GB2312" w:cs="方正仿宋_GB2312"/>
                <w:b/>
                <w:bCs/>
                <w:color w:val="auto"/>
                <w:sz w:val="22"/>
                <w:szCs w:val="22"/>
                <w:highlight w:val="none"/>
                <w:lang w:val="en-US" w:eastAsia="zh-CN"/>
              </w:rPr>
              <w:t>技术参数要求（达到或优于）</w:t>
            </w:r>
          </w:p>
          <w:p w14:paraId="7FA60A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w:t>
            </w:r>
            <w:r>
              <w:rPr>
                <w:rFonts w:hint="eastAsia" w:ascii="方正仿宋_GB2312" w:hAnsi="方正仿宋_GB2312" w:eastAsia="方正仿宋_GB2312" w:cs="方正仿宋_GB2312"/>
                <w:color w:val="auto"/>
                <w:sz w:val="22"/>
                <w:szCs w:val="22"/>
                <w:highlight w:val="none"/>
              </w:rPr>
              <w:t>通道配置：脑电</w:t>
            </w:r>
            <w:r>
              <w:rPr>
                <w:rFonts w:hint="eastAsia" w:ascii="方正仿宋_GB2312" w:hAnsi="方正仿宋_GB2312" w:eastAsia="方正仿宋_GB2312" w:cs="方正仿宋_GB2312"/>
                <w:color w:val="auto"/>
                <w:sz w:val="22"/>
                <w:szCs w:val="22"/>
                <w:highlight w:val="none"/>
                <w:lang w:val="en-US" w:eastAsia="zh-CN"/>
              </w:rPr>
              <w:t>测量</w:t>
            </w:r>
            <w:r>
              <w:rPr>
                <w:rFonts w:hint="eastAsia" w:ascii="方正仿宋_GB2312" w:hAnsi="方正仿宋_GB2312" w:eastAsia="方正仿宋_GB2312" w:cs="方正仿宋_GB2312"/>
                <w:color w:val="auto"/>
                <w:sz w:val="22"/>
                <w:szCs w:val="22"/>
                <w:highlight w:val="none"/>
              </w:rPr>
              <w:t>通道总数≥32导，其中脑电专用通道≥25导，多功能双极通道≥4对，支持血氧/心率同步采集拓展；</w:t>
            </w:r>
          </w:p>
        </w:tc>
      </w:tr>
      <w:tr w14:paraId="75485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73B0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492A6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9</w:t>
            </w:r>
          </w:p>
        </w:tc>
        <w:tc>
          <w:tcPr>
            <w:tcW w:w="6993" w:type="dxa"/>
            <w:vAlign w:val="center"/>
          </w:tcPr>
          <w:p w14:paraId="3E783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2、采样频率：最大采样率≥10000Hz，采样率可自定义256Hz、512Hz、1024Hz、2048Hz、4096Hz、8192Hz</w:t>
            </w:r>
            <w:r>
              <w:rPr>
                <w:rFonts w:hint="eastAsia" w:ascii="方正仿宋_GB2312" w:hAnsi="方正仿宋_GB2312" w:eastAsia="方正仿宋_GB2312" w:cs="方正仿宋_GB2312"/>
                <w:color w:val="auto"/>
                <w:sz w:val="22"/>
                <w:szCs w:val="22"/>
                <w:highlight w:val="none"/>
              </w:rPr>
              <w:t>；</w:t>
            </w:r>
          </w:p>
        </w:tc>
      </w:tr>
      <w:tr w14:paraId="2CF1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5A531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2026B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10</w:t>
            </w:r>
          </w:p>
        </w:tc>
        <w:tc>
          <w:tcPr>
            <w:tcW w:w="6993" w:type="dxa"/>
            <w:vAlign w:val="center"/>
          </w:tcPr>
          <w:p w14:paraId="7130B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w:t>
            </w:r>
            <w:r>
              <w:rPr>
                <w:rFonts w:hint="eastAsia" w:ascii="方正仿宋_GB2312" w:hAnsi="方正仿宋_GB2312" w:eastAsia="方正仿宋_GB2312" w:cs="方正仿宋_GB2312"/>
                <w:b w:val="0"/>
                <w:bCs w:val="0"/>
                <w:color w:val="auto"/>
                <w:sz w:val="22"/>
                <w:szCs w:val="22"/>
                <w:highlight w:val="none"/>
                <w:lang w:val="en-US" w:eastAsia="zh-CN"/>
              </w:rPr>
              <w:t>共模抑制比：输入频率10Hz时，各道≥120dB；输入频率60Hz时，各道≥110dB；有效抑制工频干扰及环境电磁噪声</w:t>
            </w:r>
            <w:r>
              <w:rPr>
                <w:rFonts w:hint="eastAsia" w:ascii="方正仿宋_GB2312" w:hAnsi="方正仿宋_GB2312" w:eastAsia="方正仿宋_GB2312" w:cs="方正仿宋_GB2312"/>
                <w:color w:val="auto"/>
                <w:sz w:val="22"/>
                <w:szCs w:val="22"/>
                <w:highlight w:val="none"/>
                <w:lang w:val="en-US" w:eastAsia="zh-CN"/>
              </w:rPr>
              <w:t>；</w:t>
            </w:r>
          </w:p>
        </w:tc>
      </w:tr>
      <w:tr w14:paraId="781AB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497E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0F7E3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11</w:t>
            </w:r>
          </w:p>
        </w:tc>
        <w:tc>
          <w:tcPr>
            <w:tcW w:w="6993" w:type="dxa"/>
            <w:vAlign w:val="center"/>
          </w:tcPr>
          <w:p w14:paraId="55DBC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b w:val="0"/>
                <w:bCs w:val="0"/>
                <w:color w:val="auto"/>
                <w:sz w:val="22"/>
                <w:szCs w:val="22"/>
                <w:highlight w:val="none"/>
                <w:lang w:val="en-US" w:eastAsia="zh-CN"/>
              </w:rPr>
              <w:t>输入阻抗：≥150MΩ，有效降低皮肤阻抗对脑电信号质量的影响；</w:t>
            </w:r>
          </w:p>
        </w:tc>
      </w:tr>
      <w:tr w14:paraId="10D1D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35797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308DE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12</w:t>
            </w:r>
          </w:p>
        </w:tc>
        <w:tc>
          <w:tcPr>
            <w:tcW w:w="6993" w:type="dxa"/>
            <w:vAlign w:val="center"/>
          </w:tcPr>
          <w:p w14:paraId="3FC02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2"/>
                <w:szCs w:val="22"/>
                <w:highlight w:val="none"/>
                <w:lang w:val="en-US" w:eastAsia="zh-CN"/>
              </w:rPr>
              <w:t>5、视频脑电同步功能：具备高清视频同步采集功能，视频时间戳与脑电波形毫秒级同步，回放时波形与动作联动定位，支持局部画面放大；</w:t>
            </w:r>
          </w:p>
        </w:tc>
      </w:tr>
      <w:tr w14:paraId="5BA60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01000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7AA8C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13</w:t>
            </w:r>
          </w:p>
        </w:tc>
        <w:tc>
          <w:tcPr>
            <w:tcW w:w="6993" w:type="dxa"/>
            <w:vAlign w:val="center"/>
          </w:tcPr>
          <w:p w14:paraId="09667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6、阻抗监测：具备实时全导联阻抗监测功能，可显示各导联阻抗状态，阻抗超标时自动醒目标记，支持采集中随时复测阻抗；</w:t>
            </w:r>
          </w:p>
        </w:tc>
      </w:tr>
      <w:tr w14:paraId="3E9E2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2EB8F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ascii="Arial" w:hAnsi="Arial" w:eastAsia="等线" w:cs="Arial"/>
                <w:color w:val="auto"/>
                <w:sz w:val="28"/>
                <w:szCs w:val="21"/>
                <w:highlight w:val="none"/>
              </w:rPr>
              <w:t>▲</w:t>
            </w:r>
          </w:p>
        </w:tc>
        <w:tc>
          <w:tcPr>
            <w:tcW w:w="673" w:type="dxa"/>
            <w:vAlign w:val="center"/>
          </w:tcPr>
          <w:p w14:paraId="6E734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14</w:t>
            </w:r>
          </w:p>
        </w:tc>
        <w:tc>
          <w:tcPr>
            <w:tcW w:w="6993" w:type="dxa"/>
            <w:vAlign w:val="center"/>
          </w:tcPr>
          <w:p w14:paraId="38591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7、事件标记：支持软硬件多种事件标记方式，事件列表可统计发生时间、持续时间及次数，阅图时可直接跳转到对应数据位置；</w:t>
            </w:r>
          </w:p>
        </w:tc>
      </w:tr>
      <w:tr w14:paraId="71C1C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vAlign w:val="center"/>
          </w:tcPr>
          <w:p w14:paraId="6F784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673" w:type="dxa"/>
            <w:vAlign w:val="center"/>
          </w:tcPr>
          <w:p w14:paraId="27271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15</w:t>
            </w:r>
          </w:p>
        </w:tc>
        <w:tc>
          <w:tcPr>
            <w:tcW w:w="6993" w:type="dxa"/>
            <w:vAlign w:val="center"/>
          </w:tcPr>
          <w:p w14:paraId="49F72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8、闪光刺激：配备医用闪光刺激器，刺激频率1~60Hz连续可调，软件自动同步标记刺激时段波形；</w:t>
            </w:r>
          </w:p>
        </w:tc>
      </w:tr>
      <w:tr w14:paraId="3D31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1173" w:type="dxa"/>
            <w:vAlign w:val="center"/>
          </w:tcPr>
          <w:p w14:paraId="0DC5D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000EC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16</w:t>
            </w:r>
          </w:p>
        </w:tc>
        <w:tc>
          <w:tcPr>
            <w:tcW w:w="6993" w:type="dxa"/>
            <w:vAlign w:val="center"/>
          </w:tcPr>
          <w:p w14:paraId="58F67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9、分析软件：配备专业脑电采集分析软件，支持数据回放、波形测量（幅值、时间、频率）、中文报告生成，报告模板可编辑；</w:t>
            </w:r>
          </w:p>
        </w:tc>
      </w:tr>
      <w:tr w14:paraId="57D2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1" w:hRule="atLeast"/>
        </w:trPr>
        <w:tc>
          <w:tcPr>
            <w:tcW w:w="1173" w:type="dxa"/>
            <w:vAlign w:val="center"/>
          </w:tcPr>
          <w:p w14:paraId="546FD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5394A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color w:val="auto"/>
                <w:sz w:val="22"/>
                <w:szCs w:val="22"/>
                <w:highlight w:val="none"/>
                <w:lang w:val="en-US" w:eastAsia="zh-CN"/>
              </w:rPr>
              <w:t>17</w:t>
            </w:r>
          </w:p>
        </w:tc>
        <w:tc>
          <w:tcPr>
            <w:tcW w:w="6993" w:type="dxa"/>
            <w:vAlign w:val="center"/>
          </w:tcPr>
          <w:p w14:paraId="2136F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10、A/D转换分辨率：≥24bit，高采样精度，能精准捕捉微弱脑电信号；</w:t>
            </w:r>
          </w:p>
        </w:tc>
      </w:tr>
      <w:tr w14:paraId="485BB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0" w:hRule="atLeast"/>
        </w:trPr>
        <w:tc>
          <w:tcPr>
            <w:tcW w:w="1173" w:type="dxa"/>
            <w:vAlign w:val="center"/>
          </w:tcPr>
          <w:p w14:paraId="4D6A3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722B0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color w:val="auto"/>
                <w:sz w:val="22"/>
                <w:szCs w:val="22"/>
                <w:highlight w:val="none"/>
                <w:lang w:val="en-US" w:eastAsia="zh-CN"/>
              </w:rPr>
              <w:t>18</w:t>
            </w:r>
          </w:p>
        </w:tc>
        <w:tc>
          <w:tcPr>
            <w:tcW w:w="6993" w:type="dxa"/>
            <w:vAlign w:val="center"/>
          </w:tcPr>
          <w:p w14:paraId="1E10E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11、智能分析功能：具备人工智能棘波自动识别功能，可自动识别标记棘波、尖波、棘慢综合波等异常放电，统计放电频次并生成趋势曲线；</w:t>
            </w:r>
          </w:p>
        </w:tc>
      </w:tr>
      <w:tr w14:paraId="63796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1" w:hRule="atLeast"/>
        </w:trPr>
        <w:tc>
          <w:tcPr>
            <w:tcW w:w="1173" w:type="dxa"/>
            <w:vAlign w:val="center"/>
          </w:tcPr>
          <w:p w14:paraId="1322E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3876C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19</w:t>
            </w:r>
          </w:p>
        </w:tc>
        <w:tc>
          <w:tcPr>
            <w:tcW w:w="6993" w:type="dxa"/>
            <w:vAlign w:val="center"/>
          </w:tcPr>
          <w:p w14:paraId="07B7B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12、脑电地形图：具备电位地形图和功率地形图功能，直观展示脑电活动空间分布，辅助临床定位异常放电区域；</w:t>
            </w:r>
          </w:p>
        </w:tc>
      </w:tr>
      <w:tr w14:paraId="429A9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1173" w:type="dxa"/>
            <w:vAlign w:val="center"/>
          </w:tcPr>
          <w:p w14:paraId="26700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ascii="Arial" w:hAnsi="Arial" w:eastAsia="等线" w:cs="Arial"/>
                <w:color w:val="auto"/>
                <w:sz w:val="28"/>
                <w:szCs w:val="21"/>
                <w:highlight w:val="none"/>
              </w:rPr>
              <w:t>▲</w:t>
            </w:r>
          </w:p>
        </w:tc>
        <w:tc>
          <w:tcPr>
            <w:tcW w:w="673" w:type="dxa"/>
            <w:vAlign w:val="center"/>
          </w:tcPr>
          <w:p w14:paraId="7066C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20</w:t>
            </w:r>
          </w:p>
        </w:tc>
        <w:tc>
          <w:tcPr>
            <w:tcW w:w="6993" w:type="dxa"/>
            <w:vAlign w:val="center"/>
          </w:tcPr>
          <w:p w14:paraId="11EB5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13、高清视频系统：1080P全高清红外网络摄像头，≥15倍光学变焦，支持云台远程控制旋转、缩放、对焦，病房关灯无光源下仍可清晰识别患者动作；</w:t>
            </w:r>
          </w:p>
        </w:tc>
      </w:tr>
      <w:tr w14:paraId="2BD8F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1173" w:type="dxa"/>
            <w:vAlign w:val="center"/>
          </w:tcPr>
          <w:p w14:paraId="23F2D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1B24F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color w:val="auto"/>
                <w:sz w:val="22"/>
                <w:szCs w:val="22"/>
                <w:highlight w:val="none"/>
                <w:lang w:val="en-US" w:eastAsia="zh-CN"/>
              </w:rPr>
              <w:t>21</w:t>
            </w:r>
          </w:p>
        </w:tc>
        <w:tc>
          <w:tcPr>
            <w:tcW w:w="6993" w:type="dxa"/>
            <w:vAlign w:val="center"/>
          </w:tcPr>
          <w:p w14:paraId="3F528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14、EEG输入灵敏度：可在下列灵敏度内切换：1、2、3、5、7、10、15、20、30、50、100μV/mm，最大允许误差±5%；范围内多档可调，满足不同临床场景的检查需求；</w:t>
            </w:r>
          </w:p>
        </w:tc>
      </w:tr>
      <w:tr w14:paraId="570E6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73" w:type="dxa"/>
            <w:vAlign w:val="center"/>
          </w:tcPr>
          <w:p w14:paraId="01A99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673" w:type="dxa"/>
            <w:vAlign w:val="center"/>
          </w:tcPr>
          <w:p w14:paraId="62520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b w:val="0"/>
                <w:bCs w:val="0"/>
                <w:color w:val="auto"/>
                <w:sz w:val="22"/>
                <w:szCs w:val="22"/>
                <w:highlight w:val="none"/>
                <w:lang w:val="en-US" w:eastAsia="zh-CN"/>
              </w:rPr>
              <w:t>22</w:t>
            </w:r>
          </w:p>
        </w:tc>
        <w:tc>
          <w:tcPr>
            <w:tcW w:w="6993" w:type="dxa"/>
            <w:vAlign w:val="center"/>
          </w:tcPr>
          <w:p w14:paraId="01EA3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15、软件升级服务：软件版本终身免费升级；</w:t>
            </w:r>
          </w:p>
        </w:tc>
      </w:tr>
      <w:tr w14:paraId="2691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6" w:hRule="atLeast"/>
        </w:trPr>
        <w:tc>
          <w:tcPr>
            <w:tcW w:w="1173" w:type="dxa"/>
            <w:vAlign w:val="center"/>
          </w:tcPr>
          <w:p w14:paraId="5ABA0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673" w:type="dxa"/>
            <w:vAlign w:val="center"/>
          </w:tcPr>
          <w:p w14:paraId="399F1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i w:val="0"/>
                <w:iCs w:val="0"/>
                <w:color w:val="000000"/>
                <w:kern w:val="0"/>
                <w:sz w:val="24"/>
                <w:szCs w:val="24"/>
                <w:u w:val="none"/>
                <w:lang w:val="en-US" w:eastAsia="zh-CN" w:bidi="ar"/>
              </w:rPr>
              <w:t>23</w:t>
            </w:r>
          </w:p>
        </w:tc>
        <w:tc>
          <w:tcPr>
            <w:tcW w:w="6993" w:type="dxa"/>
          </w:tcPr>
          <w:p w14:paraId="44EBE3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kern w:val="2"/>
                <w:sz w:val="24"/>
                <w:szCs w:val="24"/>
                <w:lang w:val="en-US" w:eastAsia="zh-CN" w:bidi="ar-SA"/>
              </w:rPr>
              <w:t>三、主要</w:t>
            </w:r>
            <w:r>
              <w:rPr>
                <w:rFonts w:hint="eastAsia" w:ascii="方正仿宋_GB2312" w:hAnsi="方正仿宋_GB2312" w:eastAsia="方正仿宋_GB2312" w:cs="方正仿宋_GB2312"/>
                <w:b w:val="0"/>
                <w:bCs w:val="0"/>
                <w:sz w:val="24"/>
                <w:szCs w:val="24"/>
              </w:rPr>
              <w:t>配置清单（单台</w:t>
            </w:r>
            <w:r>
              <w:rPr>
                <w:rFonts w:hint="eastAsia" w:ascii="方正仿宋_GB2312" w:hAnsi="方正仿宋_GB2312" w:eastAsia="方正仿宋_GB2312" w:cs="方正仿宋_GB2312"/>
                <w:b w:val="0"/>
                <w:bCs w:val="0"/>
                <w:sz w:val="24"/>
                <w:szCs w:val="24"/>
                <w:lang w:eastAsia="zh-CN"/>
              </w:rPr>
              <w:t>）</w:t>
            </w:r>
          </w:p>
          <w:tbl>
            <w:tblPr>
              <w:tblStyle w:val="12"/>
              <w:tblW w:w="667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345"/>
              <w:gridCol w:w="998"/>
              <w:gridCol w:w="1552"/>
            </w:tblGrid>
            <w:tr w14:paraId="5C2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82" w:type="dxa"/>
                  <w:noWrap w:val="0"/>
                  <w:vAlign w:val="top"/>
                </w:tcPr>
                <w:p w14:paraId="56921A09">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仿宋_GB2312" w:hAnsi="方正仿宋_GB2312" w:eastAsia="方正仿宋_GB2312" w:cs="方正仿宋_GB2312"/>
                      <w:b/>
                      <w:bCs/>
                      <w:sz w:val="24"/>
                      <w:szCs w:val="24"/>
                      <w:vertAlign w:val="baseline"/>
                      <w:lang w:eastAsia="zh-CN"/>
                    </w:rPr>
                  </w:pPr>
                  <w:r>
                    <w:rPr>
                      <w:rFonts w:hint="eastAsia" w:ascii="方正仿宋_GB2312" w:hAnsi="方正仿宋_GB2312" w:eastAsia="方正仿宋_GB2312" w:cs="方正仿宋_GB2312"/>
                      <w:b/>
                      <w:bCs/>
                      <w:sz w:val="24"/>
                      <w:szCs w:val="24"/>
                      <w:vertAlign w:val="baseline"/>
                      <w:lang w:eastAsia="zh-CN"/>
                    </w:rPr>
                    <w:t>序号</w:t>
                  </w:r>
                </w:p>
              </w:tc>
              <w:tc>
                <w:tcPr>
                  <w:tcW w:w="3345" w:type="dxa"/>
                  <w:noWrap w:val="0"/>
                  <w:vAlign w:val="top"/>
                </w:tcPr>
                <w:p w14:paraId="7BCEFA57">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仿宋_GB2312" w:hAnsi="方正仿宋_GB2312" w:eastAsia="方正仿宋_GB2312" w:cs="方正仿宋_GB2312"/>
                      <w:b/>
                      <w:bCs/>
                      <w:sz w:val="24"/>
                      <w:szCs w:val="24"/>
                      <w:vertAlign w:val="baseline"/>
                      <w:lang w:eastAsia="zh-CN"/>
                    </w:rPr>
                  </w:pPr>
                  <w:r>
                    <w:rPr>
                      <w:rFonts w:hint="eastAsia" w:ascii="方正仿宋_GB2312" w:hAnsi="方正仿宋_GB2312" w:eastAsia="方正仿宋_GB2312" w:cs="方正仿宋_GB2312"/>
                      <w:b/>
                      <w:bCs/>
                      <w:sz w:val="24"/>
                      <w:szCs w:val="24"/>
                      <w:vertAlign w:val="baseline"/>
                      <w:lang w:eastAsia="zh-CN"/>
                    </w:rPr>
                    <w:t>项目名称</w:t>
                  </w:r>
                </w:p>
              </w:tc>
              <w:tc>
                <w:tcPr>
                  <w:tcW w:w="998" w:type="dxa"/>
                  <w:noWrap w:val="0"/>
                  <w:vAlign w:val="top"/>
                </w:tcPr>
                <w:p w14:paraId="550D7542">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仿宋_GB2312" w:hAnsi="方正仿宋_GB2312" w:eastAsia="方正仿宋_GB2312" w:cs="方正仿宋_GB2312"/>
                      <w:b/>
                      <w:bCs/>
                      <w:sz w:val="24"/>
                      <w:szCs w:val="24"/>
                      <w:vertAlign w:val="baseline"/>
                      <w:lang w:eastAsia="zh-CN"/>
                    </w:rPr>
                  </w:pPr>
                  <w:r>
                    <w:rPr>
                      <w:rFonts w:hint="eastAsia" w:ascii="方正仿宋_GB2312" w:hAnsi="方正仿宋_GB2312" w:eastAsia="方正仿宋_GB2312" w:cs="方正仿宋_GB2312"/>
                      <w:b/>
                      <w:bCs/>
                      <w:sz w:val="24"/>
                      <w:szCs w:val="24"/>
                      <w:vertAlign w:val="baseline"/>
                      <w:lang w:eastAsia="zh-CN"/>
                    </w:rPr>
                    <w:t>单位</w:t>
                  </w:r>
                </w:p>
              </w:tc>
              <w:tc>
                <w:tcPr>
                  <w:tcW w:w="1552" w:type="dxa"/>
                  <w:noWrap w:val="0"/>
                  <w:vAlign w:val="top"/>
                </w:tcPr>
                <w:p w14:paraId="09AE14D5">
                  <w:pPr>
                    <w:keepNext w:val="0"/>
                    <w:keepLines w:val="0"/>
                    <w:pageBreakBefore w:val="0"/>
                    <w:widowControl w:val="0"/>
                    <w:kinsoku/>
                    <w:wordWrap/>
                    <w:overflowPunct/>
                    <w:topLinePunct w:val="0"/>
                    <w:autoSpaceDE/>
                    <w:autoSpaceDN/>
                    <w:bidi w:val="0"/>
                    <w:adjustRightInd/>
                    <w:ind w:left="0" w:leftChars="0" w:firstLine="0" w:firstLineChars="0"/>
                    <w:jc w:val="center"/>
                    <w:textAlignment w:val="auto"/>
                    <w:rPr>
                      <w:rFonts w:hint="eastAsia" w:ascii="方正仿宋_GB2312" w:hAnsi="方正仿宋_GB2312" w:eastAsia="方正仿宋_GB2312" w:cs="方正仿宋_GB2312"/>
                      <w:b/>
                      <w:bCs/>
                      <w:sz w:val="24"/>
                      <w:szCs w:val="24"/>
                      <w:vertAlign w:val="baseline"/>
                    </w:rPr>
                  </w:pPr>
                  <w:r>
                    <w:rPr>
                      <w:rFonts w:hint="eastAsia" w:ascii="方正仿宋_GB2312" w:hAnsi="方正仿宋_GB2312" w:eastAsia="方正仿宋_GB2312" w:cs="方正仿宋_GB2312"/>
                      <w:b/>
                      <w:bCs/>
                      <w:sz w:val="24"/>
                      <w:szCs w:val="24"/>
                      <w:vertAlign w:val="baseline"/>
                      <w:lang w:eastAsia="zh-CN"/>
                    </w:rPr>
                    <w:t>数量</w:t>
                  </w:r>
                </w:p>
              </w:tc>
            </w:tr>
            <w:tr w14:paraId="1C88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4EC8949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rPr>
                    <w:t>1</w:t>
                  </w:r>
                </w:p>
              </w:tc>
              <w:tc>
                <w:tcPr>
                  <w:tcW w:w="3345" w:type="dxa"/>
                  <w:noWrap w:val="0"/>
                  <w:vAlign w:val="center"/>
                </w:tcPr>
                <w:p w14:paraId="7668CE36">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b w:val="0"/>
                      <w:bCs w:val="0"/>
                      <w:sz w:val="22"/>
                      <w:szCs w:val="22"/>
                    </w:rPr>
                    <w:t>脑电信号放大器主机</w:t>
                  </w:r>
                </w:p>
              </w:tc>
              <w:tc>
                <w:tcPr>
                  <w:tcW w:w="998" w:type="dxa"/>
                  <w:noWrap w:val="0"/>
                  <w:vAlign w:val="center"/>
                </w:tcPr>
                <w:p w14:paraId="20880107">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sz w:val="22"/>
                      <w:szCs w:val="22"/>
                      <w:lang w:val="en-US" w:eastAsia="zh-CN"/>
                    </w:rPr>
                    <w:t>套</w:t>
                  </w:r>
                </w:p>
              </w:tc>
              <w:tc>
                <w:tcPr>
                  <w:tcW w:w="1552" w:type="dxa"/>
                  <w:noWrap w:val="0"/>
                  <w:vAlign w:val="center"/>
                </w:tcPr>
                <w:p w14:paraId="32C888F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54A7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3202C071">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rPr>
                    <w:t>2</w:t>
                  </w:r>
                </w:p>
              </w:tc>
              <w:tc>
                <w:tcPr>
                  <w:tcW w:w="3345" w:type="dxa"/>
                  <w:noWrap w:val="0"/>
                  <w:vAlign w:val="center"/>
                </w:tcPr>
                <w:p w14:paraId="4737C90A">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rPr>
                    <w:t>导联线及</w:t>
                  </w:r>
                  <w:r>
                    <w:rPr>
                      <w:rFonts w:hint="eastAsia" w:ascii="方正仿宋_GB2312" w:hAnsi="方正仿宋_GB2312" w:eastAsia="方正仿宋_GB2312" w:cs="方正仿宋_GB2312"/>
                      <w:sz w:val="22"/>
                      <w:szCs w:val="22"/>
                      <w:lang w:eastAsia="zh-CN"/>
                    </w:rPr>
                    <w:t>头</w:t>
                  </w:r>
                  <w:r>
                    <w:rPr>
                      <w:rFonts w:hint="eastAsia" w:ascii="方正仿宋_GB2312" w:hAnsi="方正仿宋_GB2312" w:eastAsia="方正仿宋_GB2312" w:cs="方正仿宋_GB2312"/>
                      <w:sz w:val="22"/>
                      <w:szCs w:val="22"/>
                    </w:rPr>
                    <w:t>盒</w:t>
                  </w:r>
                </w:p>
              </w:tc>
              <w:tc>
                <w:tcPr>
                  <w:tcW w:w="998" w:type="dxa"/>
                  <w:noWrap w:val="0"/>
                  <w:vAlign w:val="center"/>
                </w:tcPr>
                <w:p w14:paraId="219370B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b w:val="0"/>
                      <w:bCs w:val="0"/>
                      <w:sz w:val="22"/>
                      <w:szCs w:val="22"/>
                    </w:rPr>
                    <w:t>套</w:t>
                  </w:r>
                </w:p>
              </w:tc>
              <w:tc>
                <w:tcPr>
                  <w:tcW w:w="1552" w:type="dxa"/>
                  <w:noWrap w:val="0"/>
                  <w:vAlign w:val="center"/>
                </w:tcPr>
                <w:p w14:paraId="757B344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61A5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5BB1FC24">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rPr>
                    <w:t>3</w:t>
                  </w:r>
                </w:p>
              </w:tc>
              <w:tc>
                <w:tcPr>
                  <w:tcW w:w="3345" w:type="dxa"/>
                  <w:noWrap w:val="0"/>
                  <w:vAlign w:val="center"/>
                </w:tcPr>
                <w:p w14:paraId="3B3A57C7">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eastAsia="zh-CN"/>
                    </w:rPr>
                    <w:t>高清视频摄像头及支架</w:t>
                  </w:r>
                </w:p>
              </w:tc>
              <w:tc>
                <w:tcPr>
                  <w:tcW w:w="998" w:type="dxa"/>
                  <w:noWrap w:val="0"/>
                  <w:vAlign w:val="center"/>
                </w:tcPr>
                <w:p w14:paraId="484C6A43">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eastAsia="zh-CN"/>
                    </w:rPr>
                    <w:t>套</w:t>
                  </w:r>
                </w:p>
              </w:tc>
              <w:tc>
                <w:tcPr>
                  <w:tcW w:w="1552" w:type="dxa"/>
                  <w:noWrap w:val="0"/>
                  <w:vAlign w:val="center"/>
                </w:tcPr>
                <w:p w14:paraId="5F29922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275A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60A2D49D">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rPr>
                    <w:t>4</w:t>
                  </w:r>
                </w:p>
              </w:tc>
              <w:tc>
                <w:tcPr>
                  <w:tcW w:w="3345" w:type="dxa"/>
                  <w:noWrap w:val="0"/>
                  <w:vAlign w:val="center"/>
                </w:tcPr>
                <w:p w14:paraId="2BC77525">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eastAsia="zh-CN"/>
                    </w:rPr>
                    <w:t>医用闪光刺激器</w:t>
                  </w:r>
                </w:p>
              </w:tc>
              <w:tc>
                <w:tcPr>
                  <w:tcW w:w="998" w:type="dxa"/>
                  <w:noWrap w:val="0"/>
                  <w:vAlign w:val="center"/>
                </w:tcPr>
                <w:p w14:paraId="551CFDE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套</w:t>
                  </w:r>
                </w:p>
              </w:tc>
              <w:tc>
                <w:tcPr>
                  <w:tcW w:w="1552" w:type="dxa"/>
                  <w:noWrap w:val="0"/>
                  <w:vAlign w:val="center"/>
                </w:tcPr>
                <w:p w14:paraId="0603A567">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val="en-US" w:eastAsia="zh-CN"/>
                    </w:rPr>
                    <w:t>1</w:t>
                  </w:r>
                </w:p>
              </w:tc>
            </w:tr>
            <w:tr w14:paraId="72DC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56437748">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5</w:t>
                  </w:r>
                </w:p>
              </w:tc>
              <w:tc>
                <w:tcPr>
                  <w:tcW w:w="3345" w:type="dxa"/>
                  <w:noWrap w:val="0"/>
                  <w:vAlign w:val="center"/>
                </w:tcPr>
                <w:p w14:paraId="0D153C97">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eastAsia="zh-CN"/>
                    </w:rPr>
                    <w:t>脑电采集分析工作站（含显示器）</w:t>
                  </w:r>
                </w:p>
              </w:tc>
              <w:tc>
                <w:tcPr>
                  <w:tcW w:w="998" w:type="dxa"/>
                  <w:noWrap w:val="0"/>
                  <w:vAlign w:val="center"/>
                </w:tcPr>
                <w:p w14:paraId="348742DF">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eastAsia="zh-CN"/>
                    </w:rPr>
                    <w:t>套</w:t>
                  </w:r>
                </w:p>
              </w:tc>
              <w:tc>
                <w:tcPr>
                  <w:tcW w:w="1552" w:type="dxa"/>
                  <w:noWrap w:val="0"/>
                  <w:vAlign w:val="center"/>
                </w:tcPr>
                <w:p w14:paraId="4D70512D">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2"/>
                      <w:szCs w:val="22"/>
                      <w:lang w:val="en-US" w:eastAsia="zh-CN"/>
                    </w:rPr>
                    <w:t>1</w:t>
                  </w:r>
                </w:p>
              </w:tc>
            </w:tr>
            <w:tr w14:paraId="18B1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07BD2761">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6</w:t>
                  </w:r>
                </w:p>
              </w:tc>
              <w:tc>
                <w:tcPr>
                  <w:tcW w:w="3345" w:type="dxa"/>
                  <w:noWrap w:val="0"/>
                  <w:vAlign w:val="center"/>
                </w:tcPr>
                <w:p w14:paraId="3B0CD9A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专业脑电采集分析软件</w:t>
                  </w:r>
                </w:p>
              </w:tc>
              <w:tc>
                <w:tcPr>
                  <w:tcW w:w="998" w:type="dxa"/>
                  <w:noWrap w:val="0"/>
                  <w:vAlign w:val="center"/>
                </w:tcPr>
                <w:p w14:paraId="3F2DBE21">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套</w:t>
                  </w:r>
                </w:p>
              </w:tc>
              <w:tc>
                <w:tcPr>
                  <w:tcW w:w="1552" w:type="dxa"/>
                  <w:noWrap w:val="0"/>
                  <w:vAlign w:val="center"/>
                </w:tcPr>
                <w:p w14:paraId="6F27E85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324B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13A5422A">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7</w:t>
                  </w:r>
                </w:p>
              </w:tc>
              <w:tc>
                <w:tcPr>
                  <w:tcW w:w="3345" w:type="dxa"/>
                  <w:noWrap w:val="0"/>
                  <w:vAlign w:val="center"/>
                </w:tcPr>
                <w:p w14:paraId="14E52024">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盘状电极线</w:t>
                  </w:r>
                </w:p>
              </w:tc>
              <w:tc>
                <w:tcPr>
                  <w:tcW w:w="998" w:type="dxa"/>
                  <w:noWrap w:val="0"/>
                  <w:vAlign w:val="center"/>
                </w:tcPr>
                <w:p w14:paraId="2F639393">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套</w:t>
                  </w:r>
                </w:p>
              </w:tc>
              <w:tc>
                <w:tcPr>
                  <w:tcW w:w="1552" w:type="dxa"/>
                  <w:noWrap w:val="0"/>
                  <w:vAlign w:val="center"/>
                </w:tcPr>
                <w:p w14:paraId="73597B5F">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3（每套12根）</w:t>
                  </w:r>
                </w:p>
              </w:tc>
            </w:tr>
            <w:tr w14:paraId="1BC0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4052C3C4">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8</w:t>
                  </w:r>
                </w:p>
              </w:tc>
              <w:tc>
                <w:tcPr>
                  <w:tcW w:w="3345" w:type="dxa"/>
                  <w:noWrap w:val="0"/>
                  <w:vAlign w:val="center"/>
                </w:tcPr>
                <w:p w14:paraId="5500CFB3">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医用导电膏、磨砂膏</w:t>
                  </w:r>
                </w:p>
              </w:tc>
              <w:tc>
                <w:tcPr>
                  <w:tcW w:w="998" w:type="dxa"/>
                  <w:noWrap w:val="0"/>
                  <w:vAlign w:val="center"/>
                </w:tcPr>
                <w:p w14:paraId="55DF0954">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瓶</w:t>
                  </w:r>
                </w:p>
              </w:tc>
              <w:tc>
                <w:tcPr>
                  <w:tcW w:w="1552" w:type="dxa"/>
                  <w:noWrap w:val="0"/>
                  <w:vAlign w:val="center"/>
                </w:tcPr>
                <w:p w14:paraId="5DF8AEF3">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各1瓶</w:t>
                  </w:r>
                </w:p>
              </w:tc>
            </w:tr>
            <w:tr w14:paraId="20B6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04A76D13">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9</w:t>
                  </w:r>
                </w:p>
              </w:tc>
              <w:tc>
                <w:tcPr>
                  <w:tcW w:w="3345" w:type="dxa"/>
                  <w:noWrap w:val="0"/>
                  <w:vAlign w:val="center"/>
                </w:tcPr>
                <w:p w14:paraId="0B6903FD">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 xml:space="preserve">医用移动台车 </w:t>
                  </w:r>
                </w:p>
              </w:tc>
              <w:tc>
                <w:tcPr>
                  <w:tcW w:w="998" w:type="dxa"/>
                  <w:noWrap w:val="0"/>
                  <w:vAlign w:val="center"/>
                </w:tcPr>
                <w:p w14:paraId="29304A22">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台</w:t>
                  </w:r>
                </w:p>
              </w:tc>
              <w:tc>
                <w:tcPr>
                  <w:tcW w:w="1552" w:type="dxa"/>
                  <w:noWrap w:val="0"/>
                  <w:vAlign w:val="center"/>
                </w:tcPr>
                <w:p w14:paraId="61D7708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3771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484445EB">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10</w:t>
                  </w:r>
                </w:p>
              </w:tc>
              <w:tc>
                <w:tcPr>
                  <w:tcW w:w="3345" w:type="dxa"/>
                  <w:noWrap w:val="0"/>
                  <w:vAlign w:val="center"/>
                </w:tcPr>
                <w:p w14:paraId="74625C2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事件标记按键</w:t>
                  </w:r>
                </w:p>
              </w:tc>
              <w:tc>
                <w:tcPr>
                  <w:tcW w:w="998" w:type="dxa"/>
                  <w:noWrap w:val="0"/>
                  <w:vAlign w:val="center"/>
                </w:tcPr>
                <w:p w14:paraId="4C78215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个</w:t>
                  </w:r>
                </w:p>
              </w:tc>
              <w:tc>
                <w:tcPr>
                  <w:tcW w:w="1552" w:type="dxa"/>
                  <w:noWrap w:val="0"/>
                  <w:vAlign w:val="center"/>
                </w:tcPr>
                <w:p w14:paraId="70AC57C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7FB8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1082F41A">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11</w:t>
                  </w:r>
                </w:p>
              </w:tc>
              <w:tc>
                <w:tcPr>
                  <w:tcW w:w="3345" w:type="dxa"/>
                  <w:noWrap w:val="0"/>
                  <w:vAlign w:val="center"/>
                </w:tcPr>
                <w:p w14:paraId="3679A99B">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电源适配器、接地线等附件</w:t>
                  </w:r>
                </w:p>
              </w:tc>
              <w:tc>
                <w:tcPr>
                  <w:tcW w:w="998" w:type="dxa"/>
                  <w:noWrap w:val="0"/>
                  <w:vAlign w:val="center"/>
                </w:tcPr>
                <w:p w14:paraId="4A389B82">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套</w:t>
                  </w:r>
                </w:p>
              </w:tc>
              <w:tc>
                <w:tcPr>
                  <w:tcW w:w="1552" w:type="dxa"/>
                  <w:noWrap w:val="0"/>
                  <w:vAlign w:val="center"/>
                </w:tcPr>
                <w:p w14:paraId="48FD2578">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w:t>
                  </w:r>
                </w:p>
              </w:tc>
            </w:tr>
            <w:tr w14:paraId="5CA5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noWrap w:val="0"/>
                  <w:vAlign w:val="center"/>
                </w:tcPr>
                <w:p w14:paraId="6674CAEB">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12</w:t>
                  </w:r>
                </w:p>
              </w:tc>
              <w:tc>
                <w:tcPr>
                  <w:tcW w:w="3345" w:type="dxa"/>
                  <w:noWrap w:val="0"/>
                  <w:vAlign w:val="center"/>
                </w:tcPr>
                <w:p w14:paraId="0658788A">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b w:val="0"/>
                      <w:bCs w:val="0"/>
                      <w:sz w:val="22"/>
                      <w:szCs w:val="22"/>
                      <w:lang w:eastAsia="zh-CN"/>
                    </w:rPr>
                    <w:t>产品说明书、保修卡、合格证</w:t>
                  </w:r>
                </w:p>
              </w:tc>
              <w:tc>
                <w:tcPr>
                  <w:tcW w:w="998" w:type="dxa"/>
                  <w:noWrap w:val="0"/>
                  <w:vAlign w:val="center"/>
                </w:tcPr>
                <w:p w14:paraId="04FAF7D9">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eastAsia="zh-CN"/>
                    </w:rPr>
                  </w:pPr>
                  <w:r>
                    <w:rPr>
                      <w:rFonts w:hint="eastAsia" w:ascii="方正仿宋_GB2312" w:hAnsi="方正仿宋_GB2312" w:eastAsia="方正仿宋_GB2312" w:cs="方正仿宋_GB2312"/>
                      <w:sz w:val="22"/>
                      <w:szCs w:val="22"/>
                      <w:lang w:val="en-US" w:eastAsia="zh-CN"/>
                    </w:rPr>
                    <w:t>份</w:t>
                  </w:r>
                </w:p>
              </w:tc>
              <w:tc>
                <w:tcPr>
                  <w:tcW w:w="1552" w:type="dxa"/>
                  <w:noWrap w:val="0"/>
                  <w:vAlign w:val="center"/>
                </w:tcPr>
                <w:p w14:paraId="4F47C30E">
                  <w:pPr>
                    <w:pStyle w:val="30"/>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2"/>
                      <w:szCs w:val="22"/>
                      <w:lang w:val="en-US" w:eastAsia="zh-CN"/>
                    </w:rPr>
                    <w:t>各1份</w:t>
                  </w:r>
                </w:p>
              </w:tc>
            </w:tr>
          </w:tbl>
          <w:p w14:paraId="112F86C4">
            <w:pPr>
              <w:ind w:left="0" w:leftChars="0" w:firstLine="0" w:firstLineChars="0"/>
              <w:rPr>
                <w:rFonts w:hint="eastAsia" w:ascii="方正仿宋_GB2312" w:hAnsi="方正仿宋_GB2312" w:eastAsia="方正仿宋_GB2312" w:cs="方正仿宋_GB2312"/>
                <w:sz w:val="24"/>
                <w:szCs w:val="24"/>
                <w:lang w:val="en-US" w:eastAsia="zh-CN"/>
              </w:rPr>
            </w:pPr>
          </w:p>
        </w:tc>
      </w:tr>
      <w:tr w14:paraId="5658B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F944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c>
          <w:tcPr>
            <w:tcW w:w="7666" w:type="dxa"/>
            <w:gridSpan w:val="2"/>
          </w:tcPr>
          <w:p w14:paraId="03099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打“★”号条款为实质性条款，若有任何一条负偏离或不满足则导致投标无效。</w:t>
            </w:r>
            <w:r>
              <w:rPr>
                <w:rFonts w:hint="eastAsia" w:ascii="方正仿宋_GB2312" w:hAnsi="方正仿宋_GB2312" w:eastAsia="方正仿宋_GB2312" w:cs="方正仿宋_GB2312"/>
                <w:color w:val="auto"/>
                <w:sz w:val="22"/>
                <w:szCs w:val="22"/>
                <w:highlight w:val="none"/>
              </w:rPr>
              <w:br w:type="textWrapping"/>
            </w:r>
            <w:r>
              <w:rPr>
                <w:rFonts w:hint="eastAsia" w:ascii="方正仿宋_GB2312" w:hAnsi="方正仿宋_GB2312" w:eastAsia="方正仿宋_GB2312" w:cs="方正仿宋_GB2312"/>
                <w:color w:val="auto"/>
                <w:sz w:val="22"/>
                <w:szCs w:val="22"/>
                <w:highlight w:val="none"/>
              </w:rPr>
              <w:t>打“▲”号条款为重要技术参数，若有部分“▲”条款未响应或不满足，将导致其响应性评审加重扣分，但不作为无效投标条款。</w:t>
            </w:r>
          </w:p>
        </w:tc>
      </w:tr>
    </w:tbl>
    <w:p w14:paraId="5945E03C">
      <w:pPr>
        <w:pStyle w:val="15"/>
        <w:ind w:left="0" w:leftChars="0" w:firstLine="0" w:firstLineChars="0"/>
        <w:rPr>
          <w:rFonts w:hint="eastAsia" w:ascii="方正小标宋简体" w:eastAsia="方正小标宋简体"/>
          <w:sz w:val="44"/>
          <w:szCs w:val="44"/>
        </w:rPr>
      </w:pPr>
    </w:p>
    <w:p w14:paraId="1C9CDB72">
      <w:pPr>
        <w:rPr>
          <w:rFonts w:hint="eastAsia" w:asciiTheme="minorEastAsia" w:hAnsiTheme="minorEastAsia" w:eastAsiaTheme="minorEastAsia" w:cstheme="minorEastAsia"/>
          <w:b/>
          <w:bCs/>
          <w:lang w:eastAsia="zh-CN"/>
        </w:rPr>
      </w:pPr>
    </w:p>
    <w:p w14:paraId="6C8DA199">
      <w:pPr>
        <w:rPr>
          <w:rFonts w:hint="eastAsia" w:asciiTheme="minorEastAsia" w:hAnsiTheme="minorEastAsia" w:eastAsiaTheme="minorEastAsia" w:cstheme="minorEastAsia"/>
          <w:b/>
          <w:bCs/>
          <w:lang w:eastAsia="zh-CN"/>
        </w:rPr>
      </w:pPr>
    </w:p>
    <w:p w14:paraId="7CEE65EA">
      <w:pPr>
        <w:rPr>
          <w:rFonts w:hint="eastAsia" w:asciiTheme="minorEastAsia" w:hAnsiTheme="minorEastAsia" w:eastAsiaTheme="minorEastAsia" w:cstheme="minorEastAsia"/>
          <w:b/>
          <w:bCs/>
          <w:lang w:eastAsia="zh-CN"/>
        </w:rPr>
      </w:pPr>
    </w:p>
    <w:p w14:paraId="268F374A">
      <w:pPr>
        <w:rPr>
          <w:rFonts w:hint="eastAsia" w:asciiTheme="minorEastAsia" w:hAnsiTheme="minorEastAsia" w:eastAsiaTheme="minorEastAsia" w:cstheme="minorEastAsia"/>
          <w:b/>
          <w:bCs/>
          <w:lang w:eastAsia="zh-CN"/>
        </w:rPr>
      </w:pPr>
    </w:p>
    <w:p w14:paraId="39052916">
      <w:pPr>
        <w:rPr>
          <w:rFonts w:hint="eastAsia" w:asciiTheme="minorEastAsia" w:hAnsiTheme="minorEastAsia" w:eastAsiaTheme="minorEastAsia" w:cstheme="minorEastAsia"/>
          <w:b/>
          <w:bCs/>
          <w:lang w:eastAsia="zh-CN"/>
        </w:rPr>
      </w:pPr>
    </w:p>
    <w:p w14:paraId="72E7A302">
      <w:pPr>
        <w:rPr>
          <w:rFonts w:hint="eastAsia" w:asciiTheme="minorEastAsia" w:hAnsiTheme="minorEastAsia" w:eastAsiaTheme="minorEastAsia" w:cstheme="minorEastAsia"/>
          <w:b/>
          <w:bCs/>
          <w:lang w:eastAsia="zh-CN"/>
        </w:rPr>
      </w:pPr>
    </w:p>
    <w:p w14:paraId="28FBB270">
      <w:pPr>
        <w:rPr>
          <w:rFonts w:hint="eastAsia" w:asciiTheme="minorEastAsia" w:hAnsiTheme="minorEastAsia" w:eastAsiaTheme="minorEastAsia" w:cstheme="minorEastAsia"/>
          <w:b/>
          <w:bCs/>
          <w:lang w:eastAsia="zh-CN"/>
        </w:rPr>
      </w:pPr>
    </w:p>
    <w:p w14:paraId="5751617A">
      <w:pPr>
        <w:rPr>
          <w:rFonts w:hint="eastAsia" w:asciiTheme="minorEastAsia" w:hAnsiTheme="minorEastAsia" w:eastAsiaTheme="minorEastAsia" w:cstheme="minorEastAsia"/>
          <w:b/>
          <w:bCs/>
          <w:lang w:eastAsia="zh-CN"/>
        </w:rPr>
      </w:pPr>
    </w:p>
    <w:p w14:paraId="43C501F8">
      <w:pPr>
        <w:rPr>
          <w:rFonts w:hint="eastAsia" w:asciiTheme="minorEastAsia" w:hAnsiTheme="minorEastAsia" w:eastAsiaTheme="minorEastAsia" w:cstheme="minorEastAsia"/>
          <w:b/>
          <w:bCs/>
          <w:lang w:eastAsia="zh-CN"/>
        </w:rPr>
      </w:pPr>
    </w:p>
    <w:p w14:paraId="1B64C41C">
      <w:pPr>
        <w:rPr>
          <w:rFonts w:hint="eastAsia" w:asciiTheme="minorEastAsia" w:hAnsiTheme="minorEastAsia" w:eastAsiaTheme="minorEastAsia" w:cstheme="minorEastAsia"/>
          <w:b/>
          <w:bCs/>
          <w:lang w:eastAsia="zh-CN"/>
        </w:rPr>
      </w:pPr>
    </w:p>
    <w:p w14:paraId="3F962BD4">
      <w:pPr>
        <w:rPr>
          <w:rFonts w:hint="eastAsia" w:asciiTheme="minorEastAsia" w:hAnsiTheme="minorEastAsia" w:eastAsiaTheme="minorEastAsia" w:cstheme="minorEastAsia"/>
          <w:b/>
          <w:bCs/>
          <w:lang w:eastAsia="zh-CN"/>
        </w:rPr>
      </w:pPr>
    </w:p>
    <w:p w14:paraId="7942F616">
      <w:pPr>
        <w:rPr>
          <w:rFonts w:hint="eastAsia" w:asciiTheme="minorEastAsia" w:hAnsiTheme="minorEastAsia" w:eastAsiaTheme="minorEastAsia" w:cstheme="minorEastAsia"/>
          <w:b/>
          <w:bCs/>
          <w:lang w:eastAsia="zh-CN"/>
        </w:rPr>
      </w:pPr>
    </w:p>
    <w:p w14:paraId="35A43B67">
      <w:pPr>
        <w:rPr>
          <w:rFonts w:hint="eastAsia" w:asciiTheme="minorEastAsia" w:hAnsiTheme="minorEastAsia" w:eastAsiaTheme="minorEastAsia" w:cstheme="minorEastAsia"/>
          <w:b/>
          <w:bCs/>
          <w:lang w:eastAsia="zh-CN"/>
        </w:rPr>
      </w:pPr>
    </w:p>
    <w:p w14:paraId="66AA215F">
      <w:pPr>
        <w:rPr>
          <w:rFonts w:hint="eastAsia" w:asciiTheme="minorEastAsia" w:hAnsiTheme="minorEastAsia" w:eastAsiaTheme="minorEastAsia" w:cstheme="minorEastAsia"/>
          <w:b/>
          <w:bCs/>
          <w:lang w:eastAsia="zh-CN"/>
        </w:rPr>
      </w:pPr>
    </w:p>
    <w:p w14:paraId="62B06868">
      <w:pPr>
        <w:rPr>
          <w:rFonts w:hint="eastAsia" w:asciiTheme="minorEastAsia" w:hAnsiTheme="minorEastAsia" w:eastAsiaTheme="minorEastAsia" w:cstheme="minorEastAsia"/>
          <w:b/>
          <w:bCs/>
          <w:lang w:eastAsia="zh-CN"/>
        </w:rPr>
      </w:pPr>
    </w:p>
    <w:p w14:paraId="09CCAC81">
      <w:pPr>
        <w:ind w:left="0" w:leftChars="0" w:firstLine="0" w:firstLineChars="0"/>
        <w:rPr>
          <w:rFonts w:hint="eastAsia" w:ascii="仿宋_GB2312" w:hAnsi="仿宋"/>
          <w:b/>
          <w:szCs w:val="32"/>
        </w:rPr>
      </w:pPr>
      <w:r>
        <w:rPr>
          <w:rFonts w:hint="eastAsia" w:asciiTheme="minorEastAsia" w:hAnsiTheme="minorEastAsia" w:eastAsiaTheme="minorEastAsia" w:cstheme="minorEastAsia"/>
          <w:b/>
          <w:bCs/>
          <w:lang w:eastAsia="zh-CN"/>
        </w:rPr>
        <w:t>二、</w:t>
      </w:r>
      <w:r>
        <w:rPr>
          <w:rFonts w:hint="eastAsia" w:asciiTheme="minorEastAsia" w:hAnsiTheme="minorEastAsia" w:eastAsiaTheme="minorEastAsia" w:cstheme="minorEastAsia"/>
          <w:b/>
          <w:bCs/>
          <w:szCs w:val="32"/>
        </w:rPr>
        <w:t>评审因素及对应的分值、权重：</w:t>
      </w:r>
    </w:p>
    <w:tbl>
      <w:tblPr>
        <w:tblStyle w:val="11"/>
        <w:tblW w:w="100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6789"/>
      </w:tblGrid>
      <w:tr w14:paraId="6D350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794993EF">
            <w:pPr>
              <w:ind w:left="0" w:leftChars="0" w:firstLine="0" w:firstLineChars="0"/>
              <w:jc w:val="both"/>
              <w:rPr>
                <w:sz w:val="28"/>
                <w:szCs w:val="28"/>
              </w:rPr>
            </w:pPr>
            <w:r>
              <w:rPr>
                <w:sz w:val="28"/>
                <w:szCs w:val="28"/>
              </w:rPr>
              <w:t>评审因素</w:t>
            </w:r>
          </w:p>
        </w:tc>
        <w:tc>
          <w:tcPr>
            <w:tcW w:w="9165" w:type="dxa"/>
            <w:gridSpan w:val="2"/>
            <w:noWrap w:val="0"/>
            <w:vAlign w:val="top"/>
          </w:tcPr>
          <w:p w14:paraId="16D26D34">
            <w:pPr>
              <w:jc w:val="center"/>
              <w:rPr>
                <w:sz w:val="28"/>
                <w:szCs w:val="28"/>
              </w:rPr>
            </w:pPr>
            <w:r>
              <w:rPr>
                <w:sz w:val="28"/>
                <w:szCs w:val="28"/>
              </w:rPr>
              <w:t>评审标准</w:t>
            </w:r>
          </w:p>
        </w:tc>
      </w:tr>
      <w:tr w14:paraId="17E2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793ADF05">
            <w:pPr>
              <w:ind w:left="0" w:leftChars="0" w:firstLine="0" w:firstLineChars="0"/>
              <w:jc w:val="both"/>
              <w:rPr>
                <w:sz w:val="28"/>
                <w:szCs w:val="28"/>
              </w:rPr>
            </w:pPr>
            <w:r>
              <w:rPr>
                <w:sz w:val="28"/>
                <w:szCs w:val="28"/>
              </w:rPr>
              <w:t>分值构成</w:t>
            </w:r>
          </w:p>
        </w:tc>
        <w:tc>
          <w:tcPr>
            <w:tcW w:w="9165" w:type="dxa"/>
            <w:gridSpan w:val="2"/>
            <w:noWrap w:val="0"/>
            <w:vAlign w:val="top"/>
          </w:tcPr>
          <w:p w14:paraId="108EF29C">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w:t>
            </w:r>
            <w:r>
              <w:rPr>
                <w:sz w:val="28"/>
                <w:szCs w:val="28"/>
              </w:rPr>
              <w:t>.0分</w:t>
            </w:r>
          </w:p>
          <w:p w14:paraId="0DF2287F">
            <w:pPr>
              <w:ind w:left="0" w:leftChars="0" w:firstLine="0" w:firstLineChars="0"/>
            </w:pPr>
            <w:r>
              <w:rPr>
                <w:rFonts w:hint="eastAsia"/>
                <w:sz w:val="28"/>
                <w:szCs w:val="28"/>
                <w:lang w:val="en-US" w:eastAsia="zh-CN"/>
              </w:rPr>
              <w:t>商务</w:t>
            </w:r>
            <w:r>
              <w:rPr>
                <w:sz w:val="28"/>
                <w:szCs w:val="28"/>
              </w:rPr>
              <w:t>部分</w:t>
            </w:r>
            <w:r>
              <w:rPr>
                <w:rFonts w:hint="eastAsia"/>
                <w:sz w:val="28"/>
                <w:szCs w:val="28"/>
                <w:lang w:val="en-US" w:eastAsia="zh-CN"/>
              </w:rPr>
              <w:t>10</w:t>
            </w:r>
            <w:r>
              <w:rPr>
                <w:sz w:val="28"/>
                <w:szCs w:val="28"/>
              </w:rPr>
              <w:t>.0分</w:t>
            </w:r>
          </w:p>
          <w:p w14:paraId="5B2CA1F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5BFC3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5ADE4741">
            <w:pPr>
              <w:ind w:left="0" w:leftChars="0" w:firstLine="0" w:firstLineChars="0"/>
              <w:jc w:val="both"/>
              <w:rPr>
                <w:sz w:val="28"/>
                <w:szCs w:val="28"/>
              </w:rPr>
            </w:pPr>
            <w:r>
              <w:rPr>
                <w:sz w:val="28"/>
                <w:szCs w:val="28"/>
              </w:rPr>
              <w:t>技术部分</w:t>
            </w:r>
          </w:p>
        </w:tc>
        <w:tc>
          <w:tcPr>
            <w:tcW w:w="2376" w:type="dxa"/>
            <w:noWrap w:val="0"/>
            <w:vAlign w:val="top"/>
          </w:tcPr>
          <w:p w14:paraId="3688F1A4">
            <w:pPr>
              <w:ind w:left="0" w:leftChars="0" w:firstLine="0" w:firstLineChars="0"/>
              <w:jc w:val="left"/>
              <w:rPr>
                <w:sz w:val="28"/>
                <w:szCs w:val="28"/>
              </w:rPr>
            </w:pPr>
            <w:r>
              <w:rPr>
                <w:sz w:val="28"/>
                <w:szCs w:val="28"/>
              </w:rPr>
              <w:t>重要技术条款响应  (</w:t>
            </w:r>
            <w:r>
              <w:rPr>
                <w:rFonts w:hint="eastAsia"/>
                <w:sz w:val="28"/>
                <w:szCs w:val="28"/>
                <w:lang w:val="en-US" w:eastAsia="zh-CN"/>
              </w:rPr>
              <w:t>32</w:t>
            </w:r>
            <w:r>
              <w:rPr>
                <w:sz w:val="28"/>
                <w:szCs w:val="28"/>
              </w:rPr>
              <w:t>.0分)</w:t>
            </w:r>
          </w:p>
        </w:tc>
        <w:tc>
          <w:tcPr>
            <w:tcW w:w="6789" w:type="dxa"/>
            <w:noWrap w:val="0"/>
            <w:vAlign w:val="top"/>
          </w:tcPr>
          <w:p w14:paraId="792C8E9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重要技术条款响应（</w:t>
            </w:r>
            <w:r>
              <w:rPr>
                <w:rFonts w:hint="eastAsia" w:ascii="仿宋" w:hAnsi="仿宋" w:eastAsia="仿宋" w:cs="仿宋"/>
                <w:color w:val="auto"/>
                <w:sz w:val="28"/>
                <w:szCs w:val="28"/>
                <w:shd w:val="clear" w:color="auto" w:fill="auto"/>
                <w:lang w:val="en-US" w:eastAsia="zh-CN"/>
              </w:rPr>
              <w:t>32</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根据各投标人对</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文件技术要求中“▲”条款（共</w:t>
            </w:r>
            <w:r>
              <w:rPr>
                <w:rFonts w:hint="eastAsia" w:ascii="仿宋" w:hAnsi="仿宋" w:eastAsia="仿宋" w:cs="仿宋"/>
                <w:color w:val="auto"/>
                <w:sz w:val="28"/>
                <w:szCs w:val="28"/>
                <w:shd w:val="clear" w:color="auto" w:fill="auto"/>
                <w:lang w:val="en-US" w:eastAsia="zh-CN"/>
              </w:rPr>
              <w:t>8</w:t>
            </w:r>
            <w:r>
              <w:rPr>
                <w:rFonts w:hint="eastAsia" w:ascii="仿宋" w:hAnsi="仿宋" w:eastAsia="仿宋" w:cs="仿宋"/>
                <w:color w:val="auto"/>
                <w:sz w:val="28"/>
                <w:szCs w:val="28"/>
                <w:shd w:val="clear" w:color="auto" w:fill="auto"/>
              </w:rPr>
              <w:t>条）的响应程度进行评分： 全部响应得</w:t>
            </w:r>
            <w:r>
              <w:rPr>
                <w:rFonts w:hint="eastAsia" w:ascii="仿宋" w:hAnsi="仿宋" w:eastAsia="仿宋" w:cs="仿宋"/>
                <w:color w:val="auto"/>
                <w:sz w:val="28"/>
                <w:szCs w:val="28"/>
                <w:shd w:val="clear" w:color="auto" w:fill="auto"/>
                <w:lang w:val="en-US" w:eastAsia="zh-CN"/>
              </w:rPr>
              <w:t>32</w:t>
            </w:r>
            <w:r>
              <w:rPr>
                <w:rFonts w:hint="eastAsia" w:ascii="仿宋" w:hAnsi="仿宋" w:eastAsia="仿宋" w:cs="仿宋"/>
                <w:color w:val="auto"/>
                <w:sz w:val="28"/>
                <w:szCs w:val="28"/>
                <w:shd w:val="clear" w:color="auto" w:fill="auto"/>
              </w:rPr>
              <w:t>分，每有一项不响应的扣</w:t>
            </w:r>
            <w:r>
              <w:rPr>
                <w:rFonts w:hint="eastAsia" w:ascii="仿宋" w:hAnsi="仿宋" w:eastAsia="仿宋" w:cs="仿宋"/>
                <w:color w:val="auto"/>
                <w:sz w:val="28"/>
                <w:szCs w:val="28"/>
                <w:shd w:val="clear" w:color="auto" w:fill="auto"/>
                <w:lang w:val="en-US" w:eastAsia="zh-CN"/>
              </w:rPr>
              <w:t>4</w:t>
            </w:r>
            <w:r>
              <w:rPr>
                <w:rFonts w:hint="eastAsia" w:ascii="仿宋" w:hAnsi="仿宋" w:eastAsia="仿宋" w:cs="仿宋"/>
                <w:color w:val="auto"/>
                <w:sz w:val="28"/>
                <w:szCs w:val="28"/>
                <w:shd w:val="clear" w:color="auto" w:fill="auto"/>
              </w:rPr>
              <w:t>分。</w:t>
            </w:r>
          </w:p>
          <w:p w14:paraId="1E818152">
            <w:pPr>
              <w:jc w:val="left"/>
              <w:rPr>
                <w:sz w:val="28"/>
                <w:szCs w:val="28"/>
              </w:rPr>
            </w:pPr>
            <w:r>
              <w:rPr>
                <w:rFonts w:hint="eastAsia" w:ascii="仿宋" w:hAnsi="仿宋" w:eastAsia="仿宋" w:cs="仿宋"/>
                <w:color w:val="auto"/>
                <w:sz w:val="28"/>
                <w:szCs w:val="28"/>
                <w:shd w:val="clear" w:color="auto" w:fill="auto"/>
              </w:rPr>
              <w:t>所有投标人须提供投标产品彩页及相应技术参数的厂家使用说明书作为技术证明文件，否则</w:t>
            </w:r>
            <w:r>
              <w:rPr>
                <w:rFonts w:hint="eastAsia" w:ascii="仿宋" w:hAnsi="仿宋" w:eastAsia="仿宋" w:cs="仿宋"/>
                <w:color w:val="auto"/>
                <w:sz w:val="28"/>
                <w:szCs w:val="28"/>
                <w:shd w:val="clear" w:color="auto" w:fill="auto"/>
                <w:lang w:eastAsia="zh-CN"/>
              </w:rPr>
              <w:t>采购人</w:t>
            </w:r>
            <w:r>
              <w:rPr>
                <w:rFonts w:hint="eastAsia" w:ascii="仿宋" w:hAnsi="仿宋" w:eastAsia="仿宋" w:cs="仿宋"/>
                <w:color w:val="auto"/>
                <w:sz w:val="28"/>
                <w:szCs w:val="28"/>
                <w:shd w:val="clear" w:color="auto" w:fill="auto"/>
              </w:rPr>
              <w:t>有权视相应技术参数响应不符合</w:t>
            </w:r>
            <w:r>
              <w:rPr>
                <w:rFonts w:hint="eastAsia" w:ascii="仿宋" w:hAnsi="仿宋" w:eastAsia="仿宋" w:cs="仿宋"/>
                <w:color w:val="auto"/>
                <w:sz w:val="28"/>
                <w:szCs w:val="28"/>
                <w:shd w:val="clear" w:color="auto" w:fill="auto"/>
                <w:lang w:eastAsia="zh-CN"/>
              </w:rPr>
              <w:t>采购</w:t>
            </w:r>
            <w:r>
              <w:rPr>
                <w:rFonts w:hint="eastAsia" w:ascii="仿宋" w:hAnsi="仿宋" w:eastAsia="仿宋" w:cs="仿宋"/>
                <w:color w:val="auto"/>
                <w:sz w:val="28"/>
                <w:szCs w:val="28"/>
                <w:shd w:val="clear" w:color="auto" w:fill="auto"/>
              </w:rPr>
              <w:t xml:space="preserve">要求（如厂家的产品使用说明书为英文版，请同时提供中文版）。 </w:t>
            </w:r>
          </w:p>
        </w:tc>
      </w:tr>
      <w:tr w14:paraId="2649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6B68325B">
            <w:pPr>
              <w:jc w:val="center"/>
              <w:rPr>
                <w:sz w:val="28"/>
                <w:szCs w:val="28"/>
              </w:rPr>
            </w:pPr>
          </w:p>
        </w:tc>
        <w:tc>
          <w:tcPr>
            <w:tcW w:w="2376" w:type="dxa"/>
            <w:noWrap w:val="0"/>
            <w:vAlign w:val="top"/>
          </w:tcPr>
          <w:p w14:paraId="18F7FCC8">
            <w:pPr>
              <w:ind w:left="0" w:leftChars="0" w:firstLine="0" w:firstLineChars="0"/>
              <w:jc w:val="left"/>
              <w:rPr>
                <w:sz w:val="28"/>
                <w:szCs w:val="28"/>
              </w:rPr>
            </w:pPr>
            <w:r>
              <w:rPr>
                <w:sz w:val="28"/>
                <w:szCs w:val="28"/>
              </w:rPr>
              <w:t>一般技术条款响应 (</w:t>
            </w:r>
            <w:r>
              <w:rPr>
                <w:rFonts w:hint="eastAsia"/>
                <w:sz w:val="28"/>
                <w:szCs w:val="28"/>
                <w:lang w:val="en-US" w:eastAsia="zh-CN"/>
              </w:rPr>
              <w:t>10</w:t>
            </w:r>
            <w:r>
              <w:rPr>
                <w:sz w:val="28"/>
                <w:szCs w:val="28"/>
              </w:rPr>
              <w:t>.0分)</w:t>
            </w:r>
          </w:p>
        </w:tc>
        <w:tc>
          <w:tcPr>
            <w:tcW w:w="6789" w:type="dxa"/>
            <w:noWrap w:val="0"/>
            <w:vAlign w:val="top"/>
          </w:tcPr>
          <w:p w14:paraId="3B5252E5">
            <w:pPr>
              <w:jc w:val="left"/>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val="en-US" w:eastAsia="zh-CN"/>
              </w:rPr>
              <w:t>所投货物技术参数及性能与技术规格要求的符合性（10分）：</w:t>
            </w:r>
            <w:r>
              <w:rPr>
                <w:rFonts w:hint="eastAsia" w:ascii="仿宋" w:hAnsi="仿宋" w:eastAsia="仿宋" w:cs="仿宋"/>
                <w:color w:val="auto"/>
                <w:sz w:val="28"/>
                <w:szCs w:val="28"/>
                <w:shd w:val="clear" w:color="auto" w:fill="auto"/>
                <w:lang w:eastAsia="zh-CN"/>
              </w:rPr>
              <w:t>根根据各投标人对采购文件技术要求中一般条款（共</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lang w:eastAsia="zh-CN"/>
              </w:rPr>
              <w:t>条）的响应程度进行评分： 全部响应得</w:t>
            </w:r>
            <w:r>
              <w:rPr>
                <w:rFonts w:hint="eastAsia" w:ascii="仿宋" w:hAnsi="仿宋" w:eastAsia="仿宋" w:cs="仿宋"/>
                <w:color w:val="auto"/>
                <w:sz w:val="28"/>
                <w:szCs w:val="28"/>
                <w:shd w:val="clear" w:color="auto" w:fill="auto"/>
                <w:lang w:val="en-US" w:eastAsia="zh-CN"/>
              </w:rPr>
              <w:t>10</w:t>
            </w:r>
            <w:r>
              <w:rPr>
                <w:rFonts w:hint="eastAsia" w:ascii="仿宋" w:hAnsi="仿宋" w:eastAsia="仿宋" w:cs="仿宋"/>
                <w:color w:val="auto"/>
                <w:sz w:val="28"/>
                <w:szCs w:val="28"/>
                <w:shd w:val="clear" w:color="auto" w:fill="auto"/>
                <w:lang w:eastAsia="zh-CN"/>
              </w:rPr>
              <w:t>分，每有一项不响应的扣</w:t>
            </w:r>
            <w:r>
              <w:rPr>
                <w:rFonts w:hint="eastAsia" w:ascii="仿宋" w:hAnsi="仿宋" w:eastAsia="仿宋" w:cs="仿宋"/>
                <w:color w:val="auto"/>
                <w:sz w:val="28"/>
                <w:szCs w:val="28"/>
                <w:shd w:val="clear" w:color="auto" w:fill="auto"/>
                <w:lang w:val="en-US" w:eastAsia="zh-CN"/>
              </w:rPr>
              <w:t>1</w:t>
            </w:r>
            <w:r>
              <w:rPr>
                <w:rFonts w:hint="eastAsia" w:ascii="仿宋" w:hAnsi="仿宋" w:eastAsia="仿宋" w:cs="仿宋"/>
                <w:color w:val="auto"/>
                <w:sz w:val="28"/>
                <w:szCs w:val="28"/>
                <w:shd w:val="clear" w:color="auto" w:fill="auto"/>
                <w:lang w:eastAsia="zh-CN"/>
              </w:rPr>
              <w:t xml:space="preserve">分。 </w:t>
            </w:r>
          </w:p>
          <w:p w14:paraId="23FC9C34">
            <w:pPr>
              <w:jc w:val="left"/>
            </w:pPr>
            <w:r>
              <w:rPr>
                <w:rFonts w:hint="eastAsia" w:ascii="仿宋" w:hAnsi="仿宋" w:eastAsia="仿宋" w:cs="仿宋"/>
                <w:color w:val="auto"/>
                <w:sz w:val="28"/>
                <w:szCs w:val="28"/>
                <w:shd w:val="clear" w:color="auto" w:fill="auto"/>
                <w:lang w:eastAsia="zh-CN"/>
              </w:rPr>
              <w:t>所有投标人须提供投标产品彩页及相应技术参数的厂家使用说明书作为技术证明文件，否则采购人有权视相应技术参数响应不符合采购要求（如厂家的产品使用说明书为英文版，请同时提供中文版）</w:t>
            </w:r>
          </w:p>
        </w:tc>
      </w:tr>
      <w:tr w14:paraId="0D6FF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3890BFA5">
            <w:pPr>
              <w:ind w:left="0" w:leftChars="0" w:firstLine="0" w:firstLineChars="0"/>
              <w:jc w:val="both"/>
              <w:rPr>
                <w:rFonts w:hint="eastAsia"/>
                <w:sz w:val="28"/>
                <w:szCs w:val="28"/>
                <w:lang w:val="en-US" w:eastAsia="zh-CN"/>
              </w:rPr>
            </w:pPr>
          </w:p>
        </w:tc>
        <w:tc>
          <w:tcPr>
            <w:tcW w:w="2376" w:type="dxa"/>
            <w:noWrap w:val="0"/>
            <w:vAlign w:val="top"/>
          </w:tcPr>
          <w:p w14:paraId="1D27C32E">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质量保证方案 (6.0分)</w:t>
            </w:r>
          </w:p>
        </w:tc>
        <w:tc>
          <w:tcPr>
            <w:tcW w:w="6789" w:type="dxa"/>
            <w:noWrap w:val="0"/>
            <w:vAlign w:val="top"/>
          </w:tcPr>
          <w:p w14:paraId="0A13B64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根据投标人针对本项目所提供的质量保证方案，方案内容包括但不限于质保年限、质量保证目标、质量保障措施等内容、提供备品备件服务等内容进行评审：</w:t>
            </w:r>
          </w:p>
          <w:p w14:paraId="67ED4B18">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所提供的质保年限和质量保证目标、质量保障措施方案内容详细，有完整合理的部署规划，有安排人员负责响应采购人的维修要求及服务过程中的沟通，有完整可行操作的维修处理方法，对日常维修和应急情况响应及时，优于或完全满足项目要求的得6分；</w:t>
            </w:r>
          </w:p>
          <w:p w14:paraId="1CF10054">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所提供的质保年限和质量保证目标、质量保障措施方案基本完整，部署规划基本合理，有安排人员负责响应采购人的维修要求及服务过程中的沟通，维修处理方法基本合理可行，对日常维修和应急情况响应较及时，基本满足项目要求的得4分；</w:t>
            </w:r>
          </w:p>
          <w:p w14:paraId="7042DD22">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只提供了简单的售后服务方案，投标人有提供质保期年限和质量保证目标、质量保障措施方案，但内容不详细，部署规划不合理，有人员响应采购人的维修要求及服务过程中的沟通，有基本的操作的维修处理方法，对日常维修和应急情况响应不及时，部分满足项目要求的得2分；</w:t>
            </w:r>
          </w:p>
          <w:p w14:paraId="56273675">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45F2D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853" w:type="dxa"/>
            <w:vMerge w:val="continue"/>
            <w:noWrap w:val="0"/>
            <w:vAlign w:val="top"/>
          </w:tcPr>
          <w:p w14:paraId="13EF3CCF">
            <w:pPr>
              <w:ind w:left="0" w:leftChars="0" w:firstLine="0" w:firstLineChars="0"/>
              <w:jc w:val="both"/>
              <w:rPr>
                <w:rFonts w:hint="eastAsia"/>
                <w:sz w:val="28"/>
                <w:szCs w:val="28"/>
                <w:lang w:val="en-US" w:eastAsia="zh-CN"/>
              </w:rPr>
            </w:pPr>
          </w:p>
        </w:tc>
        <w:tc>
          <w:tcPr>
            <w:tcW w:w="2376" w:type="dxa"/>
            <w:noWrap w:val="0"/>
            <w:vAlign w:val="top"/>
          </w:tcPr>
          <w:p w14:paraId="7B18CCFF">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项目实施方案 (6.0分)</w:t>
            </w:r>
          </w:p>
        </w:tc>
        <w:tc>
          <w:tcPr>
            <w:tcW w:w="6789" w:type="dxa"/>
            <w:noWrap w:val="0"/>
            <w:vAlign w:val="top"/>
          </w:tcPr>
          <w:p w14:paraId="4753C69B">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根据投标人针对本项目所提供的项目实施方案（不包括售后服务和培训方案），包括但不限于项目到货计划、项目实施计划、项目运输保障、安装调试（如计划步骤、人员安排等）等内容进行评审：</w:t>
            </w:r>
          </w:p>
          <w:p w14:paraId="39475E8A">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（1）投标人针对本项目有明确具体的计划安排、对每个标的设备的运输过程有针对性保障手段、设备到场时的专人安装调试有明确的安排措施，优于或完全满足采购需求得6分；</w:t>
            </w:r>
          </w:p>
          <w:p w14:paraId="6AC334E6">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（2）投标人针对本项目有明确的计划安排、对设备的运输过程有基本的保障手段、设备到场时的专人安装调试有基本的安排措施，基本满足采购需求得4分；</w:t>
            </w:r>
          </w:p>
          <w:p w14:paraId="69001875">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（3）投标人针对本项目有简单的计划安排、对设备的运输过程有简单的保障手段、设备到场时的专人安装调试有简单的安排措施，部分满足采购需求得2分；</w:t>
            </w:r>
          </w:p>
          <w:p w14:paraId="064F8E58">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lang w:val="en-US" w:eastAsia="zh-CN"/>
              </w:rPr>
              <w:t>（4）不提供的不得分。</w:t>
            </w:r>
          </w:p>
        </w:tc>
      </w:tr>
      <w:tr w14:paraId="6C17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4" w:hRule="atLeast"/>
        </w:trPr>
        <w:tc>
          <w:tcPr>
            <w:tcW w:w="853" w:type="dxa"/>
            <w:vMerge w:val="continue"/>
            <w:noWrap w:val="0"/>
            <w:vAlign w:val="top"/>
          </w:tcPr>
          <w:p w14:paraId="41E179F6">
            <w:pPr>
              <w:ind w:left="0" w:leftChars="0" w:firstLine="0" w:firstLineChars="0"/>
              <w:jc w:val="both"/>
              <w:rPr>
                <w:rFonts w:hint="eastAsia"/>
                <w:sz w:val="28"/>
                <w:szCs w:val="28"/>
                <w:lang w:val="en-US" w:eastAsia="zh-CN"/>
              </w:rPr>
            </w:pPr>
          </w:p>
        </w:tc>
        <w:tc>
          <w:tcPr>
            <w:tcW w:w="2376" w:type="dxa"/>
            <w:noWrap w:val="0"/>
            <w:vAlign w:val="top"/>
          </w:tcPr>
          <w:p w14:paraId="37514C08">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highlight w:val="none"/>
                <w:shd w:val="clear" w:color="auto" w:fill="auto"/>
              </w:rPr>
              <w:t>培训方案 (</w:t>
            </w:r>
            <w:r>
              <w:rPr>
                <w:rFonts w:hint="eastAsia" w:ascii="仿宋" w:hAnsi="仿宋" w:eastAsia="仿宋" w:cs="仿宋"/>
                <w:color w:val="auto"/>
                <w:sz w:val="28"/>
                <w:szCs w:val="28"/>
                <w:highlight w:val="none"/>
                <w:shd w:val="clear" w:color="auto" w:fill="auto"/>
                <w:lang w:val="en-US" w:eastAsia="zh-CN"/>
              </w:rPr>
              <w:t>6</w:t>
            </w:r>
            <w:r>
              <w:rPr>
                <w:rFonts w:hint="eastAsia" w:ascii="仿宋" w:hAnsi="仿宋" w:eastAsia="仿宋" w:cs="仿宋"/>
                <w:color w:val="auto"/>
                <w:sz w:val="28"/>
                <w:szCs w:val="28"/>
                <w:highlight w:val="none"/>
                <w:shd w:val="clear" w:color="auto" w:fill="auto"/>
              </w:rPr>
              <w:t>.0分)</w:t>
            </w:r>
          </w:p>
        </w:tc>
        <w:tc>
          <w:tcPr>
            <w:tcW w:w="6789" w:type="dxa"/>
            <w:noWrap w:val="0"/>
            <w:vAlign w:val="top"/>
          </w:tcPr>
          <w:p w14:paraId="29863408">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highlight w:val="none"/>
                <w:shd w:val="clear" w:color="auto" w:fill="auto"/>
                <w:lang w:eastAsia="zh-CN"/>
              </w:rPr>
              <w:t>投标</w:t>
            </w:r>
            <w:r>
              <w:rPr>
                <w:rFonts w:hint="eastAsia" w:ascii="仿宋" w:hAnsi="仿宋" w:eastAsia="仿宋" w:cs="仿宋"/>
                <w:color w:val="auto"/>
                <w:sz w:val="28"/>
                <w:szCs w:val="28"/>
                <w:shd w:val="clear" w:color="auto" w:fill="auto"/>
                <w:lang w:eastAsia="zh-CN"/>
              </w:rPr>
              <w:t>人根据产品特点及保养事项对采购人所使用设备人员提供设备操作及操作过程中注意事项等内容进行培训：</w:t>
            </w:r>
          </w:p>
          <w:p w14:paraId="10AB95F3">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1）投标人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color w:val="auto"/>
                <w:sz w:val="28"/>
                <w:szCs w:val="28"/>
                <w:shd w:val="clear" w:color="auto" w:fill="auto"/>
                <w:lang w:val="en-US" w:eastAsia="zh-CN"/>
              </w:rPr>
              <w:t>6</w:t>
            </w:r>
            <w:r>
              <w:rPr>
                <w:rFonts w:hint="eastAsia" w:ascii="仿宋" w:hAnsi="仿宋" w:eastAsia="仿宋" w:cs="仿宋"/>
                <w:color w:val="auto"/>
                <w:sz w:val="28"/>
                <w:szCs w:val="28"/>
                <w:shd w:val="clear" w:color="auto" w:fill="auto"/>
                <w:lang w:eastAsia="zh-CN"/>
              </w:rPr>
              <w:t>分；</w:t>
            </w:r>
          </w:p>
          <w:p w14:paraId="1CD78D04">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（2）投标人针对本项目为采购人提供有专人指导和简单上手的设备操作培训课程安排，有简单的课程及培训内容安排，对设备的操作过程中注意事项有基本操作指引，得</w:t>
            </w:r>
            <w:r>
              <w:rPr>
                <w:rFonts w:hint="eastAsia" w:ascii="仿宋" w:hAnsi="仿宋" w:eastAsia="仿宋" w:cs="仿宋"/>
                <w:color w:val="auto"/>
                <w:sz w:val="28"/>
                <w:szCs w:val="28"/>
                <w:shd w:val="clear" w:color="auto" w:fill="auto"/>
                <w:lang w:val="en-US" w:eastAsia="zh-CN"/>
              </w:rPr>
              <w:t>4</w:t>
            </w:r>
            <w:r>
              <w:rPr>
                <w:rFonts w:hint="eastAsia" w:ascii="仿宋" w:hAnsi="仿宋" w:eastAsia="仿宋" w:cs="仿宋"/>
                <w:color w:val="auto"/>
                <w:sz w:val="28"/>
                <w:szCs w:val="28"/>
                <w:shd w:val="clear" w:color="auto" w:fill="auto"/>
                <w:lang w:eastAsia="zh-CN"/>
              </w:rPr>
              <w:t>分；</w:t>
            </w:r>
          </w:p>
          <w:p w14:paraId="082A3B9F">
            <w:pPr>
              <w:keepNext w:val="0"/>
              <w:keepLines w:val="0"/>
              <w:suppressLineNumbers w:val="0"/>
              <w:snapToGrid w:val="0"/>
              <w:spacing w:before="0" w:beforeAutospacing="0" w:after="0" w:afterAutospacing="0" w:line="276" w:lineRule="auto"/>
              <w:ind w:left="0" w:right="0"/>
              <w:rPr>
                <w:rFonts w:hint="eastAsia" w:ascii="仿宋" w:hAnsi="仿宋" w:eastAsia="仿宋" w:cs="仿宋"/>
                <w:color w:val="auto"/>
                <w:sz w:val="28"/>
                <w:szCs w:val="28"/>
                <w:shd w:val="clear" w:color="auto" w:fill="auto"/>
                <w:lang w:eastAsia="zh-CN"/>
              </w:rPr>
            </w:pPr>
            <w:r>
              <w:rPr>
                <w:rFonts w:hint="eastAsia" w:ascii="仿宋" w:hAnsi="仿宋" w:eastAsia="仿宋" w:cs="仿宋"/>
                <w:color w:val="auto"/>
                <w:sz w:val="28"/>
                <w:szCs w:val="28"/>
                <w:shd w:val="clear" w:color="auto" w:fill="auto"/>
                <w:lang w:eastAsia="zh-CN"/>
              </w:rPr>
              <w:t>（3）投标人提供指导和培训课程安排简单含糊，课程及培训内容安排不明确，对操作培训含糊其辞，得</w:t>
            </w:r>
            <w:r>
              <w:rPr>
                <w:rFonts w:hint="eastAsia" w:ascii="仿宋" w:hAnsi="仿宋" w:eastAsia="仿宋" w:cs="仿宋"/>
                <w:color w:val="auto"/>
                <w:sz w:val="28"/>
                <w:szCs w:val="28"/>
                <w:shd w:val="clear" w:color="auto" w:fill="auto"/>
                <w:lang w:val="en-US" w:eastAsia="zh-CN"/>
              </w:rPr>
              <w:t>2</w:t>
            </w:r>
            <w:r>
              <w:rPr>
                <w:rFonts w:hint="eastAsia" w:ascii="仿宋" w:hAnsi="仿宋" w:eastAsia="仿宋" w:cs="仿宋"/>
                <w:color w:val="auto"/>
                <w:sz w:val="28"/>
                <w:szCs w:val="28"/>
                <w:shd w:val="clear" w:color="auto" w:fill="auto"/>
                <w:lang w:eastAsia="zh-CN"/>
              </w:rPr>
              <w:t xml:space="preserve">分； </w:t>
            </w:r>
          </w:p>
          <w:p w14:paraId="4F548608">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eastAsia="zh-CN"/>
              </w:rPr>
              <w:t>（4）不提供的不得分。</w:t>
            </w:r>
          </w:p>
        </w:tc>
      </w:tr>
      <w:tr w14:paraId="524D5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8" w:hRule="atLeast"/>
        </w:trPr>
        <w:tc>
          <w:tcPr>
            <w:tcW w:w="853" w:type="dxa"/>
            <w:vMerge w:val="restart"/>
            <w:noWrap w:val="0"/>
            <w:vAlign w:val="top"/>
          </w:tcPr>
          <w:p w14:paraId="3A9D4CE5">
            <w:pPr>
              <w:ind w:left="0" w:leftChars="0" w:firstLine="0" w:firstLine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商务部分</w:t>
            </w:r>
          </w:p>
        </w:tc>
        <w:tc>
          <w:tcPr>
            <w:tcW w:w="2376" w:type="dxa"/>
            <w:noWrap w:val="0"/>
            <w:vAlign w:val="top"/>
          </w:tcPr>
          <w:p w14:paraId="1D42B9F3">
            <w:pPr>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lang w:val="en-US" w:eastAsia="zh-CN"/>
              </w:rPr>
              <w:t>投标人的信用、体系认证情况（1.0分）</w:t>
            </w:r>
          </w:p>
        </w:tc>
        <w:tc>
          <w:tcPr>
            <w:tcW w:w="6789" w:type="dxa"/>
            <w:noWrap w:val="0"/>
            <w:vAlign w:val="center"/>
          </w:tcPr>
          <w:p w14:paraId="68730B1A">
            <w:pPr>
              <w:keepNext w:val="0"/>
              <w:keepLines w:val="0"/>
              <w:suppressLineNumbers w:val="0"/>
              <w:snapToGrid w:val="0"/>
              <w:spacing w:before="0" w:beforeAutospacing="0" w:after="0" w:afterAutospacing="0" w:line="276"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shd w:val="clear" w:color="auto" w:fill="auto"/>
              </w:rPr>
              <w:t>投标人具有有效期内的有效的质量管理体系认证证书，提供认证证书扫描件</w:t>
            </w:r>
            <w:r>
              <w:rPr>
                <w:rFonts w:hint="eastAsia" w:ascii="仿宋" w:hAnsi="仿宋" w:eastAsia="仿宋" w:cs="仿宋"/>
                <w:color w:val="auto"/>
                <w:sz w:val="28"/>
                <w:szCs w:val="28"/>
                <w:shd w:val="clear" w:color="auto" w:fill="auto"/>
                <w:lang w:eastAsia="zh-CN"/>
              </w:rPr>
              <w:t>得</w:t>
            </w:r>
            <w:r>
              <w:rPr>
                <w:rFonts w:hint="eastAsia" w:ascii="仿宋" w:hAnsi="仿宋" w:eastAsia="仿宋" w:cs="仿宋"/>
                <w:color w:val="auto"/>
                <w:sz w:val="28"/>
                <w:szCs w:val="28"/>
                <w:shd w:val="clear" w:color="auto" w:fill="auto"/>
                <w:lang w:val="en-US" w:eastAsia="zh-CN"/>
              </w:rPr>
              <w:t>1分</w:t>
            </w:r>
            <w:r>
              <w:rPr>
                <w:rFonts w:hint="eastAsia" w:ascii="仿宋" w:hAnsi="仿宋" w:eastAsia="仿宋" w:cs="仿宋"/>
                <w:color w:val="auto"/>
                <w:sz w:val="28"/>
                <w:szCs w:val="28"/>
                <w:shd w:val="clear" w:color="auto" w:fill="auto"/>
              </w:rPr>
              <w:t>，不提供不得分。</w:t>
            </w:r>
          </w:p>
        </w:tc>
      </w:tr>
      <w:tr w14:paraId="1370F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5397CCF4">
            <w:pPr>
              <w:ind w:left="0" w:leftChars="0" w:firstLine="0" w:firstLineChars="0"/>
              <w:jc w:val="both"/>
              <w:rPr>
                <w:rFonts w:hint="eastAsia" w:ascii="仿宋" w:hAnsi="仿宋" w:eastAsia="仿宋" w:cs="仿宋"/>
                <w:sz w:val="28"/>
                <w:szCs w:val="28"/>
              </w:rPr>
            </w:pPr>
          </w:p>
        </w:tc>
        <w:tc>
          <w:tcPr>
            <w:tcW w:w="2376" w:type="dxa"/>
            <w:noWrap w:val="0"/>
            <w:vAlign w:val="top"/>
          </w:tcPr>
          <w:p w14:paraId="7C16046F">
            <w:pPr>
              <w:ind w:left="0" w:leftChars="0" w:firstLine="0" w:firstLineChars="0"/>
              <w:jc w:val="left"/>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售后服务人员配置（3分）</w:t>
            </w:r>
          </w:p>
        </w:tc>
        <w:tc>
          <w:tcPr>
            <w:tcW w:w="6789" w:type="dxa"/>
            <w:noWrap w:val="0"/>
            <w:vAlign w:val="top"/>
          </w:tcPr>
          <w:p w14:paraId="1A77DCA2">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rPr>
              <w:t>投标人</w:t>
            </w:r>
            <w:r>
              <w:rPr>
                <w:rFonts w:hint="eastAsia" w:ascii="仿宋" w:hAnsi="仿宋" w:eastAsia="仿宋" w:cs="仿宋"/>
                <w:color w:val="auto"/>
                <w:sz w:val="28"/>
                <w:szCs w:val="28"/>
                <w:shd w:val="clear" w:color="auto" w:fill="auto"/>
                <w:lang w:eastAsia="zh-CN"/>
              </w:rPr>
              <w:t>售后服务人员</w:t>
            </w:r>
            <w:r>
              <w:rPr>
                <w:rFonts w:hint="eastAsia" w:ascii="仿宋" w:hAnsi="仿宋" w:eastAsia="仿宋" w:cs="仿宋"/>
                <w:color w:val="auto"/>
                <w:sz w:val="28"/>
                <w:szCs w:val="28"/>
                <w:shd w:val="clear" w:color="auto" w:fill="auto"/>
              </w:rPr>
              <w:t>具备2年</w:t>
            </w:r>
            <w:r>
              <w:rPr>
                <w:rFonts w:hint="eastAsia" w:ascii="仿宋" w:hAnsi="仿宋" w:eastAsia="仿宋" w:cs="仿宋"/>
                <w:color w:val="auto"/>
                <w:sz w:val="28"/>
                <w:szCs w:val="28"/>
                <w:shd w:val="clear" w:color="auto" w:fill="auto"/>
                <w:lang w:eastAsia="zh-CN"/>
              </w:rPr>
              <w:t>或以上</w:t>
            </w:r>
            <w:r>
              <w:rPr>
                <w:rFonts w:hint="eastAsia" w:ascii="仿宋" w:hAnsi="仿宋" w:eastAsia="仿宋" w:cs="仿宋"/>
                <w:color w:val="auto"/>
                <w:sz w:val="28"/>
                <w:szCs w:val="28"/>
                <w:shd w:val="clear" w:color="auto" w:fill="auto"/>
              </w:rPr>
              <w:t>医疗设备维修及管理经验的，每提供一个得</w:t>
            </w:r>
            <w:r>
              <w:rPr>
                <w:rFonts w:hint="eastAsia" w:ascii="仿宋" w:hAnsi="仿宋" w:eastAsia="仿宋" w:cs="仿宋"/>
                <w:color w:val="auto"/>
                <w:sz w:val="28"/>
                <w:szCs w:val="28"/>
                <w:shd w:val="clear" w:color="auto" w:fill="auto"/>
                <w:lang w:val="en-US" w:eastAsia="zh-CN"/>
              </w:rPr>
              <w:t>1</w:t>
            </w:r>
            <w:r>
              <w:rPr>
                <w:rFonts w:hint="eastAsia" w:ascii="仿宋" w:hAnsi="仿宋" w:eastAsia="仿宋" w:cs="仿宋"/>
                <w:color w:val="auto"/>
                <w:sz w:val="28"/>
                <w:szCs w:val="28"/>
                <w:shd w:val="clear" w:color="auto" w:fill="auto"/>
              </w:rPr>
              <w:t>分</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rPr>
              <w:t>本小项最高得</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rPr>
              <w:t>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p>
        </w:tc>
      </w:tr>
      <w:tr w14:paraId="723DC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150B5D8">
            <w:pPr>
              <w:rPr>
                <w:sz w:val="28"/>
                <w:szCs w:val="28"/>
              </w:rPr>
            </w:pPr>
          </w:p>
        </w:tc>
        <w:tc>
          <w:tcPr>
            <w:tcW w:w="2376" w:type="dxa"/>
            <w:noWrap w:val="0"/>
            <w:vAlign w:val="top"/>
          </w:tcPr>
          <w:p w14:paraId="5E00D23E">
            <w:pPr>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同类项目</w:t>
            </w:r>
            <w:r>
              <w:rPr>
                <w:rFonts w:hint="eastAsia" w:ascii="仿宋" w:hAnsi="仿宋" w:eastAsia="仿宋" w:cs="仿宋"/>
                <w:sz w:val="28"/>
                <w:szCs w:val="28"/>
                <w:lang w:val="en-US" w:eastAsia="zh-CN"/>
              </w:rPr>
              <w:t>业绩</w:t>
            </w:r>
            <w:r>
              <w:rPr>
                <w:rFonts w:hint="eastAsia" w:ascii="仿宋" w:hAnsi="仿宋" w:eastAsia="仿宋" w:cs="仿宋"/>
                <w:sz w:val="28"/>
                <w:szCs w:val="28"/>
              </w:rPr>
              <w:t>情况 (</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tc>
        <w:tc>
          <w:tcPr>
            <w:tcW w:w="6789" w:type="dxa"/>
            <w:noWrap w:val="0"/>
            <w:vAlign w:val="top"/>
          </w:tcPr>
          <w:p w14:paraId="03B57869">
            <w:pPr>
              <w:keepNext w:val="0"/>
              <w:keepLines w:val="0"/>
              <w:suppressLineNumbers w:val="0"/>
              <w:snapToGrid w:val="0"/>
              <w:spacing w:before="0" w:beforeAutospacing="0" w:after="0" w:afterAutospacing="0" w:line="276" w:lineRule="auto"/>
              <w:ind w:left="0" w:right="0"/>
              <w:rPr>
                <w:rFonts w:hint="eastAsia" w:ascii="仿宋" w:hAnsi="仿宋" w:eastAsia="仿宋" w:cs="仿宋"/>
                <w:sz w:val="28"/>
                <w:szCs w:val="28"/>
              </w:rPr>
            </w:pPr>
            <w:r>
              <w:rPr>
                <w:rFonts w:hint="eastAsia" w:ascii="仿宋" w:hAnsi="仿宋" w:eastAsia="仿宋" w:cs="仿宋"/>
                <w:color w:val="auto"/>
                <w:sz w:val="28"/>
                <w:szCs w:val="28"/>
                <w:shd w:val="clear" w:color="auto" w:fill="auto"/>
                <w:lang w:val="en-US" w:eastAsia="zh-CN"/>
              </w:rPr>
              <w:t>投标人同类便携式视频脑电图仪设备供货业绩的评审（3分）：2023年1月1日至今投标人具有同类设备供货项目业绩，每提供1个业绩，得3分，最高得3分 (提供合同复印件，以签订合同的时间为准，不提供不得分）</w:t>
            </w:r>
          </w:p>
        </w:tc>
      </w:tr>
      <w:tr w14:paraId="214B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144DFB00">
            <w:pPr>
              <w:rPr>
                <w:sz w:val="28"/>
                <w:szCs w:val="28"/>
              </w:rPr>
            </w:pPr>
          </w:p>
        </w:tc>
        <w:tc>
          <w:tcPr>
            <w:tcW w:w="2376" w:type="dxa"/>
            <w:noWrap w:val="0"/>
            <w:vAlign w:val="top"/>
          </w:tcPr>
          <w:p w14:paraId="489922F9">
            <w:pPr>
              <w:pStyle w:val="30"/>
              <w:jc w:val="left"/>
              <w:rPr>
                <w:rFonts w:hint="eastAsia" w:ascii="仿宋" w:hAnsi="仿宋" w:eastAsia="仿宋" w:cs="仿宋"/>
                <w:sz w:val="28"/>
                <w:szCs w:val="28"/>
              </w:rPr>
            </w:pPr>
            <w:r>
              <w:rPr>
                <w:rFonts w:hint="eastAsia" w:ascii="仿宋" w:hAnsi="仿宋" w:eastAsia="仿宋" w:cs="仿宋"/>
                <w:sz w:val="28"/>
                <w:szCs w:val="28"/>
              </w:rPr>
              <w:t>产品授权证明 (</w:t>
            </w:r>
            <w:r>
              <w:rPr>
                <w:rFonts w:hint="eastAsia" w:ascii="仿宋" w:hAnsi="仿宋" w:eastAsia="仿宋" w:cs="仿宋"/>
                <w:sz w:val="28"/>
                <w:szCs w:val="28"/>
                <w:lang w:val="en-US" w:eastAsia="zh-CN"/>
              </w:rPr>
              <w:t>3</w:t>
            </w:r>
            <w:r>
              <w:rPr>
                <w:rFonts w:hint="eastAsia" w:ascii="仿宋" w:hAnsi="仿宋" w:eastAsia="仿宋" w:cs="仿宋"/>
                <w:sz w:val="28"/>
                <w:szCs w:val="28"/>
              </w:rPr>
              <w:t>.0分)</w:t>
            </w:r>
          </w:p>
        </w:tc>
        <w:tc>
          <w:tcPr>
            <w:tcW w:w="6789" w:type="dxa"/>
            <w:noWrap w:val="0"/>
            <w:vAlign w:val="top"/>
          </w:tcPr>
          <w:p w14:paraId="1A7F9B95">
            <w:pPr>
              <w:pStyle w:val="30"/>
              <w:keepNext w:val="0"/>
              <w:keepLines w:val="0"/>
              <w:pageBreakBefore w:val="0"/>
              <w:widowControl/>
              <w:kinsoku/>
              <w:wordWrap/>
              <w:overflowPunct/>
              <w:topLinePunct w:val="0"/>
              <w:autoSpaceDE/>
              <w:autoSpaceDN/>
              <w:bidi w:val="0"/>
              <w:adjustRightInd/>
              <w:snapToGrid/>
              <w:spacing w:line="440" w:lineRule="exact"/>
              <w:ind w:firstLine="574"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auto"/>
                <w:kern w:val="2"/>
                <w:sz w:val="28"/>
                <w:szCs w:val="28"/>
                <w:shd w:val="clear" w:color="auto" w:fill="auto"/>
                <w:lang w:val="en-US" w:eastAsia="zh-CN" w:bidi="ar-SA"/>
              </w:rPr>
              <w:t>为了保证核心产品具有追溯性且保证质量，投标人为代理商投标响应的，提供生产企业出具的有效授权证明，得</w:t>
            </w:r>
            <w:r>
              <w:rPr>
                <w:rFonts w:hint="eastAsia" w:ascii="仿宋" w:hAnsi="仿宋" w:eastAsia="仿宋" w:cs="仿宋"/>
                <w:sz w:val="28"/>
                <w:szCs w:val="28"/>
                <w:lang w:val="en-US" w:eastAsia="zh-CN"/>
              </w:rPr>
              <w:t>3</w:t>
            </w:r>
            <w:r>
              <w:rPr>
                <w:rFonts w:hint="eastAsia" w:ascii="仿宋" w:hAnsi="仿宋" w:eastAsia="仿宋" w:cs="仿宋"/>
                <w:color w:val="auto"/>
                <w:kern w:val="2"/>
                <w:sz w:val="28"/>
                <w:szCs w:val="28"/>
                <w:shd w:val="clear" w:color="auto" w:fill="auto"/>
                <w:lang w:val="en-US" w:eastAsia="zh-CN" w:bidi="ar-SA"/>
              </w:rPr>
              <w:t>分，若投标人为生产企业投标的（需提供相关证明文件）也得</w:t>
            </w:r>
            <w:r>
              <w:rPr>
                <w:rFonts w:hint="eastAsia" w:ascii="仿宋" w:hAnsi="仿宋" w:eastAsia="仿宋" w:cs="仿宋"/>
                <w:sz w:val="28"/>
                <w:szCs w:val="28"/>
                <w:lang w:val="en-US" w:eastAsia="zh-CN"/>
              </w:rPr>
              <w:t>3</w:t>
            </w:r>
            <w:r>
              <w:rPr>
                <w:rFonts w:hint="eastAsia" w:ascii="仿宋" w:hAnsi="仿宋" w:eastAsia="仿宋" w:cs="仿宋"/>
                <w:color w:val="auto"/>
                <w:kern w:val="2"/>
                <w:sz w:val="28"/>
                <w:szCs w:val="28"/>
                <w:shd w:val="clear" w:color="auto" w:fill="auto"/>
                <w:lang w:val="en-US" w:eastAsia="zh-CN" w:bidi="ar-SA"/>
              </w:rPr>
              <w:t>分，其他不得分。</w:t>
            </w:r>
          </w:p>
        </w:tc>
      </w:tr>
      <w:tr w14:paraId="146F8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0561FA7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3AA18ABB">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tc>
        <w:tc>
          <w:tcPr>
            <w:tcW w:w="6789" w:type="dxa"/>
            <w:noWrap w:val="0"/>
            <w:vAlign w:val="top"/>
          </w:tcPr>
          <w:p w14:paraId="2E723E54">
            <w:pPr>
              <w:keepNext w:val="0"/>
              <w:keepLines w:val="0"/>
              <w:pageBreakBefore w:val="0"/>
              <w:widowControl w:val="0"/>
              <w:kinsoku/>
              <w:wordWrap/>
              <w:overflowPunct/>
              <w:topLinePunct w:val="0"/>
              <w:autoSpaceDE/>
              <w:autoSpaceDN/>
              <w:bidi w:val="0"/>
              <w:adjustRightInd/>
              <w:snapToGrid/>
              <w:jc w:val="both"/>
              <w:textAlignment w:val="auto"/>
              <w:rPr>
                <w:rFonts w:hint="eastAsia" w:eastAsia="仿宋"/>
                <w:lang w:eastAsia="zh-CN"/>
              </w:rPr>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.0分)：投标报价得分＝（基准价/报价）×价格分值【注：满足采购文件要求且投标价格最低的投标报价为评标基准价。】最低报价不是中标的唯一依据</w:t>
            </w:r>
            <w:r>
              <w:rPr>
                <w:rFonts w:hint="eastAsia" w:ascii="仿宋" w:hAnsi="仿宋" w:eastAsia="仿宋" w:cstheme="minorBidi"/>
                <w:b w:val="0"/>
                <w:bCs w:val="0"/>
                <w:color w:val="auto"/>
                <w:sz w:val="28"/>
                <w:szCs w:val="28"/>
                <w:lang w:eastAsia="zh-CN"/>
              </w:rPr>
              <w:t>。</w:t>
            </w:r>
          </w:p>
        </w:tc>
      </w:tr>
      <w:tr w14:paraId="306D2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3" w:hRule="atLeast"/>
        </w:trPr>
        <w:tc>
          <w:tcPr>
            <w:tcW w:w="10018" w:type="dxa"/>
            <w:gridSpan w:val="3"/>
            <w:noWrap w:val="0"/>
            <w:vAlign w:val="top"/>
          </w:tcPr>
          <w:p w14:paraId="1C9CE97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theme="minorBidi"/>
                <w:b w:val="0"/>
                <w:bCs w:val="0"/>
                <w:color w:val="auto"/>
                <w:sz w:val="28"/>
                <w:szCs w:val="28"/>
              </w:rPr>
            </w:pPr>
            <w:r>
              <w:rPr>
                <w:rFonts w:hint="eastAsia" w:ascii="仿宋" w:hAnsi="仿宋" w:eastAsia="仿宋" w:cs="仿宋"/>
                <w:bCs w:val="0"/>
                <w:color w:val="auto"/>
                <w:spacing w:val="0"/>
                <w:kern w:val="2"/>
                <w:sz w:val="28"/>
                <w:szCs w:val="28"/>
                <w:shd w:val="clear" w:color="auto" w:fill="auto"/>
                <w:lang w:val="en-US" w:eastAsia="zh-CN" w:bidi="ar-SA"/>
              </w:rPr>
              <w:t>说明：打“★”号条款为实质性条款，若有任何一条负偏离或不满足则导致投标无效。</w:t>
            </w:r>
            <w:r>
              <w:rPr>
                <w:rFonts w:hint="eastAsia" w:ascii="仿宋" w:hAnsi="仿宋" w:eastAsia="仿宋" w:cs="仿宋"/>
                <w:bCs w:val="0"/>
                <w:color w:val="auto"/>
                <w:spacing w:val="0"/>
                <w:kern w:val="2"/>
                <w:sz w:val="28"/>
                <w:szCs w:val="28"/>
                <w:shd w:val="clear" w:color="auto" w:fill="auto"/>
                <w:lang w:val="en-US" w:eastAsia="zh-CN" w:bidi="ar-SA"/>
              </w:rPr>
              <w:br w:type="textWrapping"/>
            </w:r>
            <w:r>
              <w:rPr>
                <w:rFonts w:hint="eastAsia" w:ascii="仿宋" w:hAnsi="仿宋" w:eastAsia="仿宋" w:cs="仿宋"/>
                <w:bCs w:val="0"/>
                <w:color w:val="auto"/>
                <w:spacing w:val="0"/>
                <w:kern w:val="2"/>
                <w:sz w:val="28"/>
                <w:szCs w:val="28"/>
                <w:shd w:val="clear" w:color="auto" w:fill="auto"/>
                <w:lang w:val="en-US" w:eastAsia="zh-CN" w:bidi="ar-SA"/>
              </w:rPr>
              <w:t xml:space="preserve">     打“▲”号条款为重要技术参数，若有部分“▲”条款未响应或不满足，将导致其响应性评审加重扣分，但不作为无效投标条款。</w:t>
            </w:r>
          </w:p>
        </w:tc>
      </w:tr>
    </w:tbl>
    <w:p w14:paraId="1A05B304">
      <w:pPr>
        <w:ind w:left="0" w:leftChars="0" w:firstLine="0" w:firstLineChars="0"/>
        <w:rPr>
          <w:rFonts w:ascii="仿宋" w:hAnsi="仿宋" w:eastAsia="仿宋" w:cs="Helvetica Neue"/>
          <w:i/>
          <w:iCs/>
          <w:kern w:val="0"/>
          <w:sz w:val="28"/>
          <w:szCs w:val="28"/>
        </w:rPr>
      </w:pPr>
    </w:p>
    <w:p w14:paraId="20ED701E">
      <w:pPr>
        <w:pStyle w:val="15"/>
        <w:spacing w:before="0" w:after="0" w:line="240" w:lineRule="auto"/>
        <w:ind w:left="0" w:leftChars="0" w:firstLine="0" w:firstLineChars="0"/>
        <w:rPr>
          <w:rFonts w:hint="eastAsia" w:ascii="仿宋" w:hAnsi="仿宋" w:eastAsia="仿宋" w:cs="Helvetica Neue"/>
          <w:i/>
          <w:iCs/>
          <w:kern w:val="0"/>
          <w:sz w:val="28"/>
          <w:szCs w:val="28"/>
          <w:lang w:eastAsia="zh-CN"/>
        </w:rPr>
      </w:pPr>
    </w:p>
    <w:sectPr>
      <w:footerReference r:id="rId5" w:type="default"/>
      <w:footerReference r:id="rId6"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D567D9"/>
    <w:rsid w:val="03F12886"/>
    <w:rsid w:val="03F363F6"/>
    <w:rsid w:val="045C354F"/>
    <w:rsid w:val="047E5D41"/>
    <w:rsid w:val="04842AA6"/>
    <w:rsid w:val="04846DD5"/>
    <w:rsid w:val="04B8641E"/>
    <w:rsid w:val="04CA3B18"/>
    <w:rsid w:val="052778F4"/>
    <w:rsid w:val="052F1387"/>
    <w:rsid w:val="05500BDA"/>
    <w:rsid w:val="05DB04A3"/>
    <w:rsid w:val="0604347C"/>
    <w:rsid w:val="062A0934"/>
    <w:rsid w:val="070F4658"/>
    <w:rsid w:val="076C72BA"/>
    <w:rsid w:val="078D3AFD"/>
    <w:rsid w:val="087F780C"/>
    <w:rsid w:val="088D64EC"/>
    <w:rsid w:val="08BA4CE8"/>
    <w:rsid w:val="090430D9"/>
    <w:rsid w:val="095344A8"/>
    <w:rsid w:val="095B73E3"/>
    <w:rsid w:val="09721F8E"/>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900F36"/>
    <w:rsid w:val="0FD06ACB"/>
    <w:rsid w:val="0FEC732E"/>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1B53C5"/>
    <w:rsid w:val="122F3B48"/>
    <w:rsid w:val="12473DB3"/>
    <w:rsid w:val="125D1EF2"/>
    <w:rsid w:val="12722EA2"/>
    <w:rsid w:val="129C3395"/>
    <w:rsid w:val="12BF30B1"/>
    <w:rsid w:val="12CE5D17"/>
    <w:rsid w:val="12D4449D"/>
    <w:rsid w:val="13147980"/>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42BF6"/>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380790"/>
    <w:rsid w:val="217113DA"/>
    <w:rsid w:val="21844BB5"/>
    <w:rsid w:val="21977500"/>
    <w:rsid w:val="21A67B84"/>
    <w:rsid w:val="21FA6DF4"/>
    <w:rsid w:val="21FC7871"/>
    <w:rsid w:val="2210130D"/>
    <w:rsid w:val="22950817"/>
    <w:rsid w:val="22B8599C"/>
    <w:rsid w:val="22BD491D"/>
    <w:rsid w:val="22C84412"/>
    <w:rsid w:val="233562BF"/>
    <w:rsid w:val="23384D2F"/>
    <w:rsid w:val="23464DE4"/>
    <w:rsid w:val="237E56C3"/>
    <w:rsid w:val="24030E16"/>
    <w:rsid w:val="244A678E"/>
    <w:rsid w:val="249825F1"/>
    <w:rsid w:val="24992D0D"/>
    <w:rsid w:val="24AC023E"/>
    <w:rsid w:val="24CF5954"/>
    <w:rsid w:val="24F64DA5"/>
    <w:rsid w:val="25C14F7B"/>
    <w:rsid w:val="26013B1B"/>
    <w:rsid w:val="261920E3"/>
    <w:rsid w:val="261E1534"/>
    <w:rsid w:val="26B17905"/>
    <w:rsid w:val="26B97F35"/>
    <w:rsid w:val="26D24169"/>
    <w:rsid w:val="27174C5C"/>
    <w:rsid w:val="273067C9"/>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1A6430"/>
    <w:rsid w:val="2E47648F"/>
    <w:rsid w:val="2E565B2A"/>
    <w:rsid w:val="2E6812E3"/>
    <w:rsid w:val="2E7C4629"/>
    <w:rsid w:val="2EC64B5C"/>
    <w:rsid w:val="2ED400C3"/>
    <w:rsid w:val="2F9000D8"/>
    <w:rsid w:val="2F9D2A80"/>
    <w:rsid w:val="2FBB4D1E"/>
    <w:rsid w:val="303F591A"/>
    <w:rsid w:val="3047087F"/>
    <w:rsid w:val="30684342"/>
    <w:rsid w:val="307318E5"/>
    <w:rsid w:val="307F00FF"/>
    <w:rsid w:val="3093267C"/>
    <w:rsid w:val="30D52967"/>
    <w:rsid w:val="30F6610E"/>
    <w:rsid w:val="30F7475C"/>
    <w:rsid w:val="310D5422"/>
    <w:rsid w:val="3142692F"/>
    <w:rsid w:val="31541DBA"/>
    <w:rsid w:val="315B627C"/>
    <w:rsid w:val="316A449E"/>
    <w:rsid w:val="31AE1FC7"/>
    <w:rsid w:val="31D22BF9"/>
    <w:rsid w:val="323F180D"/>
    <w:rsid w:val="329C4ED3"/>
    <w:rsid w:val="32E65787"/>
    <w:rsid w:val="32F100BD"/>
    <w:rsid w:val="33184235"/>
    <w:rsid w:val="332C5BE4"/>
    <w:rsid w:val="336F02F9"/>
    <w:rsid w:val="33894BCA"/>
    <w:rsid w:val="33B72A4E"/>
    <w:rsid w:val="341A21EB"/>
    <w:rsid w:val="34515C51"/>
    <w:rsid w:val="34747AA0"/>
    <w:rsid w:val="348807AF"/>
    <w:rsid w:val="34BD32E6"/>
    <w:rsid w:val="34F16D04"/>
    <w:rsid w:val="351225C8"/>
    <w:rsid w:val="35335A0B"/>
    <w:rsid w:val="356674DA"/>
    <w:rsid w:val="35DE09C9"/>
    <w:rsid w:val="36483084"/>
    <w:rsid w:val="366B04D8"/>
    <w:rsid w:val="36B10C29"/>
    <w:rsid w:val="37425D25"/>
    <w:rsid w:val="376408CA"/>
    <w:rsid w:val="37774228"/>
    <w:rsid w:val="37AE3A93"/>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94244F"/>
    <w:rsid w:val="3C23409E"/>
    <w:rsid w:val="3C4B2A92"/>
    <w:rsid w:val="3C4D3370"/>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3A7B79"/>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23E2F"/>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3F4333"/>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3A17B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1C69BA"/>
    <w:rsid w:val="704A2F79"/>
    <w:rsid w:val="705967D3"/>
    <w:rsid w:val="70641B61"/>
    <w:rsid w:val="71253A25"/>
    <w:rsid w:val="713B2A1B"/>
    <w:rsid w:val="715E0962"/>
    <w:rsid w:val="71794B59"/>
    <w:rsid w:val="71855AEF"/>
    <w:rsid w:val="719D47F2"/>
    <w:rsid w:val="71E02949"/>
    <w:rsid w:val="723E0A6C"/>
    <w:rsid w:val="723E572B"/>
    <w:rsid w:val="729329B5"/>
    <w:rsid w:val="72CB1664"/>
    <w:rsid w:val="72D44160"/>
    <w:rsid w:val="730168D6"/>
    <w:rsid w:val="735D7A9C"/>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2">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7"/>
    <w:semiHidden/>
    <w:unhideWhenUsed/>
    <w:qFormat/>
    <w:uiPriority w:val="99"/>
    <w:pPr>
      <w:spacing w:line="240" w:lineRule="auto"/>
    </w:pPr>
    <w:rPr>
      <w:sz w:val="18"/>
      <w:szCs w:val="18"/>
    </w:rPr>
  </w:style>
  <w:style w:type="paragraph" w:styleId="7">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locked/>
    <w:uiPriority w:val="0"/>
    <w:rPr>
      <w:b/>
    </w:rPr>
  </w:style>
  <w:style w:type="paragraph" w:customStyle="1" w:styleId="15">
    <w:name w:val="表格文字"/>
    <w:basedOn w:val="1"/>
    <w:qFormat/>
    <w:uiPriority w:val="0"/>
    <w:pPr>
      <w:snapToGrid w:val="0"/>
      <w:spacing w:before="25" w:after="25"/>
    </w:pPr>
    <w:rPr>
      <w:rFonts w:ascii="Calibri" w:hAnsi="Calibri" w:eastAsia="Calibri"/>
      <w:bCs/>
      <w:spacing w:val="10"/>
      <w:sz w:val="24"/>
      <w:szCs w:val="20"/>
      <w:lang w:eastAsia="en-US"/>
    </w:rPr>
  </w:style>
  <w:style w:type="character" w:customStyle="1" w:styleId="16">
    <w:name w:val="标题 2 Char"/>
    <w:basedOn w:val="13"/>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3"/>
    <w:link w:val="4"/>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3"/>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3"/>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3"/>
    <w:link w:val="8"/>
    <w:qFormat/>
    <w:uiPriority w:val="99"/>
    <w:rPr>
      <w:sz w:val="18"/>
      <w:szCs w:val="18"/>
    </w:rPr>
  </w:style>
  <w:style w:type="character" w:customStyle="1" w:styleId="26">
    <w:name w:val="页脚 Char"/>
    <w:basedOn w:val="13"/>
    <w:link w:val="7"/>
    <w:qFormat/>
    <w:uiPriority w:val="99"/>
    <w:rPr>
      <w:sz w:val="18"/>
      <w:szCs w:val="18"/>
    </w:rPr>
  </w:style>
  <w:style w:type="character" w:customStyle="1" w:styleId="27">
    <w:name w:val="批注框文本 Char"/>
    <w:basedOn w:val="13"/>
    <w:link w:val="6"/>
    <w:semiHidden/>
    <w:qFormat/>
    <w:uiPriority w:val="99"/>
    <w:rPr>
      <w:rFonts w:ascii="Times New Roman" w:hAnsi="Times New Roman" w:eastAsia="仿宋_GB2312"/>
      <w:sz w:val="18"/>
      <w:szCs w:val="18"/>
    </w:rPr>
  </w:style>
  <w:style w:type="character" w:customStyle="1" w:styleId="28">
    <w:name w:val="标题 3 Char"/>
    <w:basedOn w:val="13"/>
    <w:link w:val="2"/>
    <w:qFormat/>
    <w:uiPriority w:val="0"/>
    <w:rPr>
      <w:rFonts w:ascii="Times New Roman" w:hAnsi="Times New Roman" w:eastAsia="仿宋_GB2312" w:cs="Times New Roman"/>
      <w:b/>
      <w:bCs/>
      <w:kern w:val="2"/>
      <w:sz w:val="32"/>
      <w:szCs w:val="32"/>
    </w:rPr>
  </w:style>
  <w:style w:type="character" w:customStyle="1" w:styleId="29">
    <w:name w:val="副标题 Char"/>
    <w:basedOn w:val="13"/>
    <w:link w:val="9"/>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3480</Words>
  <Characters>3639</Characters>
  <Lines>40</Lines>
  <Paragraphs>11</Paragraphs>
  <TotalTime>0</TotalTime>
  <ScaleCrop>false</ScaleCrop>
  <LinksUpToDate>false</LinksUpToDate>
  <CharactersWithSpaces>3661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2026-07-16T07:12:01Z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