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B5BFB">
      <w:pPr>
        <w:spacing w:line="240" w:lineRule="auto"/>
        <w:ind w:firstLine="0"/>
        <w:jc w:val="left"/>
        <w:rPr>
          <w:rFonts w:hint="default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1：</w:t>
      </w:r>
    </w:p>
    <w:p w14:paraId="16784A76">
      <w:pPr>
        <w:spacing w:line="240" w:lineRule="auto"/>
        <w:ind w:firstLine="0"/>
        <w:jc w:val="center"/>
        <w:rPr>
          <w:rFonts w:hint="eastAsia" w:ascii="方正公文小标宋" w:hAnsi="方正公文小标宋" w:eastAsia="方正公文小标宋" w:cs="方正公文小标宋"/>
          <w:color w:val="auto"/>
          <w:spacing w:val="0"/>
          <w:kern w:val="0"/>
          <w:sz w:val="44"/>
          <w:szCs w:val="44"/>
          <w:highlight w:val="none"/>
          <w:lang w:eastAsia="zh-Hans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auto"/>
          <w:spacing w:val="0"/>
          <w:kern w:val="0"/>
          <w:sz w:val="44"/>
          <w:szCs w:val="44"/>
          <w:highlight w:val="none"/>
          <w:lang w:eastAsia="zh-Hans"/>
        </w:rPr>
        <w:t>免陪照护服务质量考核表</w:t>
      </w:r>
    </w:p>
    <w:bookmarkEnd w:id="0"/>
    <w:tbl>
      <w:tblPr>
        <w:tblStyle w:val="6"/>
        <w:tblpPr w:leftFromText="180" w:rightFromText="180" w:vertAnchor="text" w:horzAnchor="page" w:tblpX="599" w:tblpY="365"/>
        <w:tblOverlap w:val="never"/>
        <w:tblW w:w="10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7890"/>
        <w:gridCol w:w="720"/>
        <w:gridCol w:w="1086"/>
      </w:tblGrid>
      <w:tr w14:paraId="2F9D4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1050" w:type="dxa"/>
            <w:vAlign w:val="top"/>
          </w:tcPr>
          <w:p w14:paraId="60DF427C">
            <w:pPr>
              <w:kinsoku w:val="0"/>
              <w:autoSpaceDE w:val="0"/>
              <w:autoSpaceDN w:val="0"/>
              <w:adjustRightInd w:val="0"/>
              <w:snapToGrid w:val="0"/>
              <w:spacing w:before="246" w:line="220" w:lineRule="auto"/>
              <w:ind w:left="0" w:firstLine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en-US" w:bidi="ar-SA"/>
              </w:rPr>
              <w:t>项 目</w:t>
            </w:r>
          </w:p>
        </w:tc>
        <w:tc>
          <w:tcPr>
            <w:tcW w:w="7890" w:type="dxa"/>
            <w:vAlign w:val="top"/>
          </w:tcPr>
          <w:p w14:paraId="335E6B12">
            <w:pPr>
              <w:kinsoku w:val="0"/>
              <w:autoSpaceDE w:val="0"/>
              <w:autoSpaceDN w:val="0"/>
              <w:adjustRightInd w:val="0"/>
              <w:snapToGrid w:val="0"/>
              <w:spacing w:before="246" w:line="220" w:lineRule="auto"/>
              <w:ind w:left="0" w:firstLine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napToGrid w:val="0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zh-CN" w:bidi="ar-SA"/>
              </w:rPr>
              <w:t>评价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en-US" w:bidi="ar-SA"/>
              </w:rPr>
              <w:t>内容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zh-CN" w:bidi="ar-SA"/>
              </w:rPr>
              <w:t>与标准</w:t>
            </w:r>
          </w:p>
        </w:tc>
        <w:tc>
          <w:tcPr>
            <w:tcW w:w="720" w:type="dxa"/>
            <w:vAlign w:val="top"/>
          </w:tcPr>
          <w:p w14:paraId="126EFD1C">
            <w:pPr>
              <w:kinsoku w:val="0"/>
              <w:autoSpaceDE w:val="0"/>
              <w:autoSpaceDN w:val="0"/>
              <w:adjustRightInd w:val="0"/>
              <w:snapToGrid w:val="0"/>
              <w:spacing w:before="246" w:line="22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en-US" w:bidi="ar-SA"/>
              </w:rPr>
              <w:t>分值</w:t>
            </w:r>
          </w:p>
        </w:tc>
        <w:tc>
          <w:tcPr>
            <w:tcW w:w="1086" w:type="dxa"/>
            <w:vAlign w:val="top"/>
          </w:tcPr>
          <w:p w14:paraId="7C927130">
            <w:pPr>
              <w:kinsoku w:val="0"/>
              <w:autoSpaceDE w:val="0"/>
              <w:autoSpaceDN w:val="0"/>
              <w:adjustRightInd w:val="0"/>
              <w:snapToGrid w:val="0"/>
              <w:spacing w:before="246" w:line="220" w:lineRule="auto"/>
              <w:ind w:left="0" w:firstLine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zh-CN" w:bidi="ar-SA"/>
              </w:rPr>
              <w:t>扣分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en-US" w:bidi="ar-SA"/>
              </w:rPr>
              <w:t>标准</w:t>
            </w:r>
          </w:p>
        </w:tc>
      </w:tr>
      <w:tr w14:paraId="16CC4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50" w:type="dxa"/>
            <w:vAlign w:val="top"/>
          </w:tcPr>
          <w:p w14:paraId="3464E6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6E6E47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仪容仪表</w:t>
            </w:r>
          </w:p>
          <w:p w14:paraId="41F6FD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（5分）</w:t>
            </w:r>
          </w:p>
        </w:tc>
        <w:tc>
          <w:tcPr>
            <w:tcW w:w="7890" w:type="dxa"/>
            <w:vAlign w:val="top"/>
          </w:tcPr>
          <w:p w14:paraId="32D379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按规定统一着装，工服干净整洁、无破损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、无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污渍，规范佩戴工作牌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。</w:t>
            </w:r>
          </w:p>
          <w:p w14:paraId="1B7428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发型梳理整齐，长发盘起并佩戴头花，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短发不过耳，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整体仪表端庄大方。</w:t>
            </w:r>
          </w:p>
          <w:p w14:paraId="6DA958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3.指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（趾）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甲修短且无污垢，禁止佩戴戒指、手链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、耳环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等饰品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，不得涂抹指甲油，戴指甲套等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。</w:t>
            </w:r>
          </w:p>
          <w:p w14:paraId="3FC683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Chars="0" w:firstLine="0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4.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男士不得留胡须。</w:t>
            </w:r>
          </w:p>
          <w:p w14:paraId="231D82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5.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站姿、坐姿规范</w:t>
            </w:r>
            <w:r>
              <w:rPr>
                <w:rFonts w:hint="eastAsia" w:ascii="宋体" w:hAnsi="宋体" w:eastAsia="宋体" w:cs="宋体"/>
                <w:strike w:val="0"/>
                <w:dstrike w:val="0"/>
                <w:snapToGrid w:val="0"/>
                <w:color w:val="000000"/>
                <w:spacing w:val="-7"/>
                <w:kern w:val="0"/>
                <w:sz w:val="22"/>
                <w:szCs w:val="22"/>
                <w:highlight w:val="none"/>
                <w:lang w:val="en-US" w:eastAsia="en-US" w:bidi="ar-SA"/>
              </w:rPr>
              <w:t>得体</w:t>
            </w:r>
            <w:r>
              <w:rPr>
                <w:rFonts w:hint="eastAsia" w:ascii="宋体" w:hAnsi="宋体" w:eastAsia="宋体" w:cs="宋体"/>
                <w:strike w:val="0"/>
                <w:dstrike w:val="0"/>
                <w:snapToGrid w:val="0"/>
                <w:color w:val="000000"/>
                <w:spacing w:val="-7"/>
                <w:kern w:val="0"/>
                <w:sz w:val="22"/>
                <w:szCs w:val="22"/>
                <w:highlight w:val="none"/>
                <w:lang w:val="en-US" w:eastAsia="zh-CN" w:bidi="ar-SA"/>
              </w:rPr>
              <w:t>。</w:t>
            </w:r>
          </w:p>
        </w:tc>
        <w:tc>
          <w:tcPr>
            <w:tcW w:w="720" w:type="dxa"/>
            <w:vAlign w:val="top"/>
          </w:tcPr>
          <w:p w14:paraId="387440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  <w:p w14:paraId="0E4878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  <w:p w14:paraId="678E4A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86" w:type="dxa"/>
            <w:vAlign w:val="top"/>
          </w:tcPr>
          <w:p w14:paraId="643BC9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6B9F0A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50FBF1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一项不符合扣1分</w:t>
            </w:r>
          </w:p>
        </w:tc>
      </w:tr>
      <w:tr w14:paraId="094C0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050" w:type="dxa"/>
            <w:vMerge w:val="restart"/>
            <w:vAlign w:val="top"/>
          </w:tcPr>
          <w:p w14:paraId="7CED60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54FB38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49ADD1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6767D5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2F1F29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工作纪律</w:t>
            </w:r>
          </w:p>
          <w:p w14:paraId="769F23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（25分）</w:t>
            </w:r>
          </w:p>
        </w:tc>
        <w:tc>
          <w:tcPr>
            <w:tcW w:w="7890" w:type="dxa"/>
            <w:shd w:val="clear" w:color="auto" w:fill="auto"/>
            <w:vAlign w:val="top"/>
          </w:tcPr>
          <w:p w14:paraId="60D3EE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1.自觉遵守医院及科室规章制度，按时上下班、坚守工作岗位，不得擅自离岗或离开病区就餐，不得在上班时间睡觉。</w:t>
            </w:r>
          </w:p>
          <w:p w14:paraId="1CBEED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2.专注本职工作，团结同事、文明相处，工作期间不得玩手机、处理私人事务，不得在病区聚集闲聊、组织私下聚会。</w:t>
            </w:r>
          </w:p>
          <w:p w14:paraId="3151F7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3.服从医护人员管理与工作安排，物品定点规范摆放，不在指定区域外悬挂杂物，保障病区通道、消防通道全程畅通。</w:t>
            </w:r>
          </w:p>
          <w:p w14:paraId="34FA14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4.不得无故不续签服务单、拒绝签单、挑选服务患者。</w:t>
            </w:r>
          </w:p>
        </w:tc>
        <w:tc>
          <w:tcPr>
            <w:tcW w:w="720" w:type="dxa"/>
            <w:shd w:val="clear" w:color="auto" w:fill="auto"/>
            <w:vAlign w:val="top"/>
          </w:tcPr>
          <w:p w14:paraId="6C49AE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10</w:t>
            </w:r>
          </w:p>
        </w:tc>
        <w:tc>
          <w:tcPr>
            <w:tcW w:w="1086" w:type="dxa"/>
            <w:shd w:val="clear" w:color="auto" w:fill="auto"/>
            <w:vAlign w:val="top"/>
          </w:tcPr>
          <w:p w14:paraId="6AEF7B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一项不符合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扣1分</w:t>
            </w:r>
          </w:p>
        </w:tc>
      </w:tr>
      <w:tr w14:paraId="606A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050" w:type="dxa"/>
            <w:vMerge w:val="continue"/>
            <w:vAlign w:val="top"/>
          </w:tcPr>
          <w:p w14:paraId="7E436C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890" w:type="dxa"/>
            <w:vAlign w:val="top"/>
          </w:tcPr>
          <w:p w14:paraId="09D5FD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依规提供服务、恪守职业底线，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严禁利用工作之便谋取不当利益，如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介绍亲友在院内从事“黑陪”服务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出租被服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/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陪人床，售卖纸尿片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护理垫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翻身枕等。</w:t>
            </w:r>
          </w:p>
          <w:p w14:paraId="2495EB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严守职业准则，严禁私自开展合同外服务项目，保护患者个人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隐私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及医护工作内容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。</w:t>
            </w:r>
          </w:p>
          <w:p w14:paraId="586616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3.不得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向患者及家属索取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/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收受红包、小费、财物。</w:t>
            </w:r>
          </w:p>
          <w:p w14:paraId="3CE4B3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4.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严格按照服务协议开展照护工作，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按医院规定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使用病区物资、设施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。</w:t>
            </w:r>
          </w:p>
        </w:tc>
        <w:tc>
          <w:tcPr>
            <w:tcW w:w="720" w:type="dxa"/>
            <w:vAlign w:val="top"/>
          </w:tcPr>
          <w:p w14:paraId="405C5E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15</w:t>
            </w:r>
          </w:p>
        </w:tc>
        <w:tc>
          <w:tcPr>
            <w:tcW w:w="1086" w:type="dxa"/>
            <w:vAlign w:val="top"/>
          </w:tcPr>
          <w:p w14:paraId="3FB4F9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一项不符合扣5分</w:t>
            </w:r>
          </w:p>
        </w:tc>
      </w:tr>
      <w:tr w14:paraId="0A2B7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050" w:type="dxa"/>
            <w:vMerge w:val="restart"/>
            <w:vAlign w:val="top"/>
          </w:tcPr>
          <w:p w14:paraId="3413C7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47FE54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1E6D06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7AC8E5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4FADA3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46C07E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24748D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2D2678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119A20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服务质量</w:t>
            </w:r>
          </w:p>
          <w:p w14:paraId="525BDA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（40分）</w:t>
            </w:r>
          </w:p>
        </w:tc>
        <w:tc>
          <w:tcPr>
            <w:tcW w:w="7890" w:type="dxa"/>
            <w:vAlign w:val="top"/>
          </w:tcPr>
          <w:p w14:paraId="14B1D8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生活照护：</w:t>
            </w:r>
          </w:p>
          <w:p w14:paraId="2EF7FF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1.病室环境、床单位整洁无异味，物品摆放有序。</w:t>
            </w:r>
          </w:p>
          <w:p w14:paraId="221960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2.协助患者完成洗漱、更衣、剪指甲、个人清洁等工作，保持患者全身干净舒适。</w:t>
            </w:r>
          </w:p>
          <w:p w14:paraId="37837D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3.按照医嘱协助患者进食、饮水，把控食物温度与进食速度，餐后及时清洁。</w:t>
            </w:r>
          </w:p>
          <w:p w14:paraId="15B415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4.协助患者规范如厕、做好排泄后清洁护理，保持皮肤干爽。</w:t>
            </w:r>
          </w:p>
          <w:p w14:paraId="198327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5.睡前整理床位、拉好床栏，协助患者采取舒适睡姿，定时巡视。</w:t>
            </w:r>
          </w:p>
        </w:tc>
        <w:tc>
          <w:tcPr>
            <w:tcW w:w="720" w:type="dxa"/>
            <w:vAlign w:val="top"/>
          </w:tcPr>
          <w:p w14:paraId="539A39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  <w:p w14:paraId="7B4140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86" w:type="dxa"/>
            <w:vMerge w:val="restart"/>
            <w:vAlign w:val="top"/>
          </w:tcPr>
          <w:p w14:paraId="7114F2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  <w:p w14:paraId="533D89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  <w:p w14:paraId="4D3855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  <w:p w14:paraId="0EA16A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现场查看一项不符合扣1分，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收到有效投诉一次扣 2分</w:t>
            </w:r>
          </w:p>
          <w:p w14:paraId="19C074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07FDC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50" w:type="dxa"/>
            <w:vMerge w:val="continue"/>
            <w:vAlign w:val="top"/>
          </w:tcPr>
          <w:p w14:paraId="67D2A0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890" w:type="dxa"/>
            <w:shd w:val="clear" w:color="auto" w:fill="auto"/>
            <w:vAlign w:val="top"/>
          </w:tcPr>
          <w:p w14:paraId="7CF659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安全照护：</w:t>
            </w:r>
          </w:p>
          <w:p w14:paraId="2232EE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1.对老人、儿童、意识障碍等具有跌到风险的患者落实防护措施，防范跌倒、坠床、走失。</w:t>
            </w:r>
          </w:p>
          <w:p w14:paraId="565DFF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2.定时协助翻身，做好皮肤防护，预防压力性损伤。</w:t>
            </w:r>
          </w:p>
          <w:p w14:paraId="4284EE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3.喂食全程防范误吸，密切观察患者意识、精神、生命体征变化。</w:t>
            </w:r>
          </w:p>
          <w:p w14:paraId="575638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4.熟练使用床栏、轮椅、平车等设施，转运患者全程平稳、防护到位。</w:t>
            </w:r>
          </w:p>
          <w:p w14:paraId="56702C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5.发现患者异常、安全隐患第一时间上报医护人员。</w:t>
            </w:r>
          </w:p>
        </w:tc>
        <w:tc>
          <w:tcPr>
            <w:tcW w:w="720" w:type="dxa"/>
            <w:shd w:val="clear" w:color="auto" w:fill="auto"/>
            <w:vAlign w:val="top"/>
          </w:tcPr>
          <w:p w14:paraId="54D9DE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09C98A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86" w:type="dxa"/>
            <w:vMerge w:val="continue"/>
            <w:shd w:val="clear" w:color="auto" w:fill="auto"/>
            <w:vAlign w:val="top"/>
          </w:tcPr>
          <w:p w14:paraId="1F8807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</w:tr>
      <w:tr w14:paraId="760B7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50" w:type="dxa"/>
            <w:vMerge w:val="continue"/>
            <w:vAlign w:val="top"/>
          </w:tcPr>
          <w:p w14:paraId="3423C3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890" w:type="dxa"/>
            <w:shd w:val="clear" w:color="auto" w:fill="auto"/>
            <w:vAlign w:val="top"/>
          </w:tcPr>
          <w:p w14:paraId="74A11F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管道照护：</w:t>
            </w:r>
          </w:p>
          <w:p w14:paraId="780A3D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1.日常检查氧气管、胃管、尿管、引流管等管路，确保固定牢固、无扭曲、受压。</w:t>
            </w:r>
          </w:p>
          <w:p w14:paraId="4D82BD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2.协助患者翻身、移动时，动作轻柔，妥善保护各类管路。</w:t>
            </w:r>
          </w:p>
          <w:p w14:paraId="1B3FE5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3.观察引流液颜色、性状、流量，管路周边皮肤保持清洁干燥。</w:t>
            </w:r>
          </w:p>
          <w:p w14:paraId="6DA200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4.发现管路移位、堵塞、滑脱等问题立即上报护士。</w:t>
            </w:r>
          </w:p>
        </w:tc>
        <w:tc>
          <w:tcPr>
            <w:tcW w:w="720" w:type="dxa"/>
            <w:shd w:val="clear" w:color="auto" w:fill="auto"/>
            <w:vAlign w:val="top"/>
          </w:tcPr>
          <w:p w14:paraId="7B5D7D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27F80E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86" w:type="dxa"/>
            <w:vMerge w:val="continue"/>
            <w:shd w:val="clear" w:color="auto" w:fill="auto"/>
            <w:vAlign w:val="top"/>
          </w:tcPr>
          <w:p w14:paraId="71ABBB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</w:tr>
      <w:tr w14:paraId="2E5B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50" w:type="dxa"/>
            <w:vMerge w:val="continue"/>
            <w:vAlign w:val="top"/>
          </w:tcPr>
          <w:p w14:paraId="0EDD35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890" w:type="dxa"/>
            <w:vAlign w:val="top"/>
          </w:tcPr>
          <w:p w14:paraId="14BC87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康复照护：</w:t>
            </w:r>
          </w:p>
          <w:p w14:paraId="475B7C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1.在医护指导下协助患者开展肢体活动、关节锻炼、下床行走等康复训练。</w:t>
            </w:r>
          </w:p>
          <w:p w14:paraId="116FE9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2.训练前做好准备工作，训练中密切观察患者状态，训练后及时整理用物。</w:t>
            </w:r>
          </w:p>
          <w:p w14:paraId="3D9B52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3.定时协助卧床患者翻身、活动肢体，预防肌肉萎缩。</w:t>
            </w:r>
          </w:p>
        </w:tc>
        <w:tc>
          <w:tcPr>
            <w:tcW w:w="720" w:type="dxa"/>
            <w:vAlign w:val="top"/>
          </w:tcPr>
          <w:p w14:paraId="04B4F0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0E3727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86" w:type="dxa"/>
            <w:vMerge w:val="continue"/>
            <w:vAlign w:val="top"/>
          </w:tcPr>
          <w:p w14:paraId="495F21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10DC3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050" w:type="dxa"/>
            <w:vMerge w:val="continue"/>
            <w:vAlign w:val="top"/>
          </w:tcPr>
          <w:p w14:paraId="5AC99D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890" w:type="dxa"/>
            <w:vAlign w:val="top"/>
          </w:tcPr>
          <w:p w14:paraId="0DFCC4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心理照护：</w:t>
            </w:r>
          </w:p>
          <w:p w14:paraId="56205F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1.主动与患者沟通交流，态度温和友善，耐心倾听患者诉求。</w:t>
            </w:r>
          </w:p>
          <w:p w14:paraId="00924F8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2.及时安抚患者情绪，疏导焦虑、孤独、恐惧等负面心理。</w:t>
            </w:r>
          </w:p>
          <w:p w14:paraId="246C68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3.开展护理操作时做好遮挡，充分尊重患者人格与尊严。</w:t>
            </w:r>
          </w:p>
        </w:tc>
        <w:tc>
          <w:tcPr>
            <w:tcW w:w="720" w:type="dxa"/>
            <w:vAlign w:val="top"/>
          </w:tcPr>
          <w:p w14:paraId="6914FE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  <w:p w14:paraId="27F5A4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86" w:type="dxa"/>
            <w:vMerge w:val="continue"/>
            <w:vAlign w:val="top"/>
          </w:tcPr>
          <w:p w14:paraId="6161D6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0B033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050" w:type="dxa"/>
            <w:vMerge w:val="continue"/>
            <w:vAlign w:val="top"/>
          </w:tcPr>
          <w:p w14:paraId="411024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890" w:type="dxa"/>
            <w:vAlign w:val="top"/>
          </w:tcPr>
          <w:p w14:paraId="351FDF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出入院照护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：</w:t>
            </w:r>
          </w:p>
          <w:p w14:paraId="786D39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1.热情接待新入院患者，介绍病区环境、规章制度、呼叫器使用方法等。</w:t>
            </w:r>
          </w:p>
          <w:p w14:paraId="40AF90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2.协助患者整理个人物品，配合完成入院相关衔接工作。</w:t>
            </w:r>
          </w:p>
          <w:p w14:paraId="1C8443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3.患者出院时，协助整理物品、做好卫生清理，配合完成床单位终末处理。</w:t>
            </w:r>
          </w:p>
        </w:tc>
        <w:tc>
          <w:tcPr>
            <w:tcW w:w="720" w:type="dxa"/>
            <w:vAlign w:val="top"/>
          </w:tcPr>
          <w:p w14:paraId="2B7835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  <w:p w14:paraId="3F8649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  <w:p w14:paraId="2EDFAC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86" w:type="dxa"/>
            <w:vMerge w:val="continue"/>
            <w:vAlign w:val="top"/>
          </w:tcPr>
          <w:p w14:paraId="3619E2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</w:tr>
      <w:tr w14:paraId="2FDB9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050" w:type="dxa"/>
            <w:vMerge w:val="continue"/>
            <w:vAlign w:val="top"/>
          </w:tcPr>
          <w:p w14:paraId="2238F2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890" w:type="dxa"/>
            <w:vAlign w:val="top"/>
          </w:tcPr>
          <w:p w14:paraId="64D7DC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医护配合：</w:t>
            </w:r>
          </w:p>
          <w:p w14:paraId="09DBCC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1.服从医护人员工作安排，认真参加床边交接班，如实汇报患者情况。</w:t>
            </w:r>
          </w:p>
          <w:p w14:paraId="2FD3F5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2.协助管理病房物资、被服、耗材，使用后及时清洁、归位。</w:t>
            </w:r>
          </w:p>
          <w:p w14:paraId="39AAD4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3.配合做好病房消毒、垃圾分类、环境维护工作。</w:t>
            </w:r>
          </w:p>
        </w:tc>
        <w:tc>
          <w:tcPr>
            <w:tcW w:w="720" w:type="dxa"/>
            <w:vAlign w:val="top"/>
          </w:tcPr>
          <w:p w14:paraId="0A672D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  <w:p w14:paraId="0E258C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10</w:t>
            </w:r>
          </w:p>
        </w:tc>
        <w:tc>
          <w:tcPr>
            <w:tcW w:w="1086" w:type="dxa"/>
            <w:vMerge w:val="continue"/>
            <w:vAlign w:val="top"/>
          </w:tcPr>
          <w:p w14:paraId="32A328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</w:tr>
      <w:tr w14:paraId="6051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050" w:type="dxa"/>
            <w:vMerge w:val="restart"/>
            <w:vAlign w:val="top"/>
          </w:tcPr>
          <w:p w14:paraId="044A91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服务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管理</w:t>
            </w:r>
          </w:p>
          <w:p w14:paraId="1506C5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（20分）</w:t>
            </w:r>
          </w:p>
        </w:tc>
        <w:tc>
          <w:tcPr>
            <w:tcW w:w="7890" w:type="dxa"/>
            <w:shd w:val="clear" w:color="auto" w:fill="auto"/>
            <w:vAlign w:val="top"/>
          </w:tcPr>
          <w:p w14:paraId="77E582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服务响应：</w:t>
            </w:r>
          </w:p>
          <w:p w14:paraId="2328DE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接陪护需求在 10 分钟内予以响应（回复），2小时内安排到位。</w:t>
            </w:r>
          </w:p>
        </w:tc>
        <w:tc>
          <w:tcPr>
            <w:tcW w:w="720" w:type="dxa"/>
            <w:shd w:val="clear" w:color="auto" w:fill="auto"/>
            <w:vAlign w:val="top"/>
          </w:tcPr>
          <w:p w14:paraId="27B570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10</w:t>
            </w:r>
          </w:p>
        </w:tc>
        <w:tc>
          <w:tcPr>
            <w:tcW w:w="1086" w:type="dxa"/>
            <w:vMerge w:val="restart"/>
            <w:shd w:val="clear" w:color="auto" w:fill="auto"/>
            <w:vAlign w:val="top"/>
          </w:tcPr>
          <w:p w14:paraId="7526F4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一项不符合扣1分，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收到有效投诉一次扣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分</w:t>
            </w:r>
          </w:p>
        </w:tc>
      </w:tr>
      <w:tr w14:paraId="27EC6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050" w:type="dxa"/>
            <w:vMerge w:val="continue"/>
            <w:vAlign w:val="top"/>
          </w:tcPr>
          <w:p w14:paraId="55BA91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890" w:type="dxa"/>
            <w:vAlign w:val="top"/>
          </w:tcPr>
          <w:p w14:paraId="28D7D4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签单管理：</w:t>
            </w:r>
          </w:p>
          <w:p w14:paraId="4B52B0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Chars="0" w:firstLine="0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依据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患方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服务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需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求签订订单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及知情同意书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安排符合患方满意的医疗护理员，严格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按收费标准收费。</w:t>
            </w:r>
          </w:p>
        </w:tc>
        <w:tc>
          <w:tcPr>
            <w:tcW w:w="720" w:type="dxa"/>
            <w:vAlign w:val="top"/>
          </w:tcPr>
          <w:p w14:paraId="199672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86" w:type="dxa"/>
            <w:vMerge w:val="continue"/>
            <w:vAlign w:val="top"/>
          </w:tcPr>
          <w:p w14:paraId="74939A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</w:tr>
      <w:tr w14:paraId="78AE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50" w:type="dxa"/>
            <w:vMerge w:val="continue"/>
            <w:vAlign w:val="top"/>
          </w:tcPr>
          <w:p w14:paraId="311B0F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890" w:type="dxa"/>
            <w:vAlign w:val="top"/>
          </w:tcPr>
          <w:p w14:paraId="0E5CE3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服务追踪：</w:t>
            </w:r>
          </w:p>
          <w:p w14:paraId="11E0B0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lang w:eastAsia="en-US"/>
              </w:rPr>
              <w:t>签单之后每日跟踪，及时回应及解决各类问题。</w:t>
            </w:r>
          </w:p>
        </w:tc>
        <w:tc>
          <w:tcPr>
            <w:tcW w:w="720" w:type="dxa"/>
            <w:vAlign w:val="top"/>
          </w:tcPr>
          <w:p w14:paraId="7F0655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086" w:type="dxa"/>
            <w:vAlign w:val="top"/>
          </w:tcPr>
          <w:p w14:paraId="32A916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无跟踪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一次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扣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分</w:t>
            </w:r>
          </w:p>
        </w:tc>
      </w:tr>
      <w:tr w14:paraId="78F3C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50" w:type="dxa"/>
            <w:vMerge w:val="continue"/>
            <w:vAlign w:val="top"/>
          </w:tcPr>
          <w:p w14:paraId="501B2B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890" w:type="dxa"/>
            <w:vAlign w:val="top"/>
          </w:tcPr>
          <w:p w14:paraId="3D1FC0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质控培训：</w:t>
            </w:r>
          </w:p>
          <w:p w14:paraId="7A3CD5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按要求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每月组织培训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考核至少一次，每月底组织一次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质量分析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会，并将当月质量分析报告于次月第一周上报主管部门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。</w:t>
            </w:r>
          </w:p>
        </w:tc>
        <w:tc>
          <w:tcPr>
            <w:tcW w:w="720" w:type="dxa"/>
            <w:vAlign w:val="top"/>
          </w:tcPr>
          <w:p w14:paraId="28ED6A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086" w:type="dxa"/>
            <w:vAlign w:val="top"/>
          </w:tcPr>
          <w:p w14:paraId="51DA69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未完成不得分</w:t>
            </w:r>
          </w:p>
        </w:tc>
      </w:tr>
      <w:tr w14:paraId="54BD2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050" w:type="dxa"/>
            <w:vAlign w:val="top"/>
          </w:tcPr>
          <w:p w14:paraId="26D475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43" w:lineRule="auto"/>
              <w:ind w:left="0" w:leftChars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不良事件管控</w:t>
            </w:r>
            <w:r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  <w:t>（10分）</w:t>
            </w:r>
          </w:p>
        </w:tc>
        <w:tc>
          <w:tcPr>
            <w:tcW w:w="7890" w:type="dxa"/>
            <w:vAlign w:val="top"/>
          </w:tcPr>
          <w:p w14:paraId="04C51D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严格遵照医疗护理员工作要求做好患者生活照护，有效预防患者跌倒、坠床、走失、非计划拔管、压力性损伤、误吸等不良事件发生。</w:t>
            </w:r>
          </w:p>
        </w:tc>
        <w:tc>
          <w:tcPr>
            <w:tcW w:w="720" w:type="dxa"/>
            <w:vAlign w:val="top"/>
          </w:tcPr>
          <w:p w14:paraId="74D060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10</w:t>
            </w:r>
          </w:p>
        </w:tc>
        <w:tc>
          <w:tcPr>
            <w:tcW w:w="1086" w:type="dxa"/>
            <w:vAlign w:val="top"/>
          </w:tcPr>
          <w:p w14:paraId="4FD108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因照护不当发生不良事件未造成严重后果，一例扣5分</w:t>
            </w:r>
          </w:p>
        </w:tc>
      </w:tr>
      <w:tr w14:paraId="7AF30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050" w:type="dxa"/>
            <w:vAlign w:val="top"/>
          </w:tcPr>
          <w:p w14:paraId="2C461F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其他</w:t>
            </w:r>
          </w:p>
        </w:tc>
        <w:tc>
          <w:tcPr>
            <w:tcW w:w="7890" w:type="dxa"/>
            <w:vAlign w:val="top"/>
          </w:tcPr>
          <w:p w14:paraId="3DA104C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7" w:line="300" w:lineRule="exact"/>
              <w:ind w:left="50" w:right="11" w:firstLine="4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出现以下任一情况，当月考核视为不及格：</w:t>
            </w:r>
          </w:p>
          <w:p w14:paraId="74D47E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300" w:lineRule="exact"/>
              <w:ind w:firstLine="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1.因照护不当发生不良事件造成严重后果的。</w:t>
            </w:r>
          </w:p>
          <w:p w14:paraId="09B8CA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300" w:lineRule="exact"/>
              <w:ind w:firstLine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2.发生虐待患者、盗窃等行为。</w:t>
            </w:r>
          </w:p>
          <w:p w14:paraId="4F789F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  <w:t>3.服务公司存在严重服务质量问题，造成医患矛盾、医疗投诉、医疗纠纷、影响医疗安全的行为。</w:t>
            </w:r>
          </w:p>
        </w:tc>
        <w:tc>
          <w:tcPr>
            <w:tcW w:w="720" w:type="dxa"/>
            <w:vAlign w:val="top"/>
          </w:tcPr>
          <w:p w14:paraId="0399AF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6" w:type="dxa"/>
            <w:vAlign w:val="top"/>
          </w:tcPr>
          <w:p w14:paraId="026B9D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0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5978E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8940" w:type="dxa"/>
            <w:gridSpan w:val="2"/>
            <w:vAlign w:val="top"/>
          </w:tcPr>
          <w:p w14:paraId="1BF87748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7" w:line="300" w:lineRule="exact"/>
              <w:ind w:left="0" w:right="11" w:firstLine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highlight w:val="yellow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auto"/>
                <w:spacing w:val="-6"/>
                <w:kern w:val="0"/>
                <w:sz w:val="22"/>
                <w:szCs w:val="22"/>
                <w:highlight w:val="none"/>
                <w:lang w:val="en-US" w:eastAsia="en-US" w:bidi="ar-SA"/>
              </w:rPr>
              <w:t>合计</w:t>
            </w:r>
          </w:p>
        </w:tc>
        <w:tc>
          <w:tcPr>
            <w:tcW w:w="720" w:type="dxa"/>
            <w:vAlign w:val="top"/>
          </w:tcPr>
          <w:p w14:paraId="0F1EE4F7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300" w:lineRule="exact"/>
              <w:ind w:left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100</w:t>
            </w:r>
          </w:p>
        </w:tc>
        <w:tc>
          <w:tcPr>
            <w:tcW w:w="1086" w:type="dxa"/>
            <w:vAlign w:val="top"/>
          </w:tcPr>
          <w:p w14:paraId="3A94B648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7" w:line="300" w:lineRule="exact"/>
              <w:ind w:left="0" w:firstLine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2"/>
                <w:szCs w:val="22"/>
                <w:highlight w:val="yellow"/>
                <w:lang w:val="en-US" w:eastAsia="zh-CN" w:bidi="ar-SA"/>
              </w:rPr>
            </w:pPr>
          </w:p>
        </w:tc>
      </w:tr>
    </w:tbl>
    <w:p w14:paraId="54B19D8F">
      <w:pPr>
        <w:kinsoku w:val="0"/>
        <w:autoSpaceDE w:val="0"/>
        <w:autoSpaceDN w:val="0"/>
        <w:adjustRightInd w:val="0"/>
        <w:snapToGrid w:val="0"/>
        <w:spacing w:before="62" w:line="219" w:lineRule="auto"/>
        <w:ind w:firstLine="0"/>
        <w:jc w:val="left"/>
        <w:textAlignment w:val="baseline"/>
        <w:rPr>
          <w:rFonts w:ascii="Times New Roman" w:hAnsi="Times New Roman" w:eastAsia="仿宋_GB2312" w:cs="Times New Roman"/>
          <w:sz w:val="32"/>
        </w:rPr>
      </w:pPr>
      <w:r>
        <w:rPr>
          <w:rFonts w:ascii="宋体" w:hAnsi="宋体" w:eastAsia="宋体" w:cs="宋体"/>
          <w:snapToGrid w:val="0"/>
          <w:color w:val="auto"/>
          <w:spacing w:val="-2"/>
          <w:kern w:val="0"/>
          <w:sz w:val="22"/>
          <w:szCs w:val="22"/>
          <w:highlight w:val="none"/>
          <w:lang w:eastAsia="en-US"/>
        </w:rPr>
        <w:t>注：每项考评内容的分值扣完为止，《</w:t>
      </w:r>
      <w:r>
        <w:rPr>
          <w:rFonts w:hint="eastAsia" w:ascii="宋体" w:hAnsi="宋体" w:eastAsia="宋体" w:cs="宋体"/>
          <w:snapToGrid w:val="0"/>
          <w:color w:val="auto"/>
          <w:spacing w:val="-2"/>
          <w:kern w:val="0"/>
          <w:sz w:val="22"/>
          <w:szCs w:val="22"/>
          <w:highlight w:val="none"/>
          <w:lang w:val="en-US" w:eastAsia="zh-CN"/>
        </w:rPr>
        <w:t>免</w:t>
      </w:r>
      <w:r>
        <w:rPr>
          <w:rFonts w:ascii="宋体" w:hAnsi="宋体" w:eastAsia="宋体" w:cs="宋体"/>
          <w:snapToGrid w:val="0"/>
          <w:color w:val="auto"/>
          <w:spacing w:val="-2"/>
          <w:kern w:val="0"/>
          <w:sz w:val="22"/>
          <w:szCs w:val="22"/>
          <w:highlight w:val="none"/>
          <w:lang w:eastAsia="en-US"/>
        </w:rPr>
        <w:t>陪</w:t>
      </w:r>
      <w:r>
        <w:rPr>
          <w:rFonts w:hint="eastAsia" w:ascii="宋体" w:hAnsi="宋体" w:eastAsia="宋体" w:cs="宋体"/>
          <w:snapToGrid w:val="0"/>
          <w:color w:val="auto"/>
          <w:spacing w:val="-2"/>
          <w:kern w:val="0"/>
          <w:sz w:val="22"/>
          <w:szCs w:val="22"/>
          <w:highlight w:val="none"/>
          <w:lang w:val="en-US" w:eastAsia="zh-CN"/>
        </w:rPr>
        <w:t>照</w:t>
      </w:r>
      <w:r>
        <w:rPr>
          <w:rFonts w:ascii="宋体" w:hAnsi="宋体" w:eastAsia="宋体" w:cs="宋体"/>
          <w:snapToGrid w:val="0"/>
          <w:color w:val="auto"/>
          <w:spacing w:val="-2"/>
          <w:kern w:val="0"/>
          <w:sz w:val="22"/>
          <w:szCs w:val="22"/>
          <w:highlight w:val="none"/>
          <w:lang w:eastAsia="en-US"/>
        </w:rPr>
        <w:t>护服务质量考核表》可根据运行中的实</w:t>
      </w:r>
      <w:r>
        <w:rPr>
          <w:rFonts w:hint="default" w:ascii="宋体" w:hAnsi="宋体" w:eastAsia="宋体" w:cs="宋体"/>
          <w:snapToGrid w:val="0"/>
          <w:color w:val="auto"/>
          <w:spacing w:val="-2"/>
          <w:kern w:val="0"/>
          <w:sz w:val="22"/>
          <w:szCs w:val="22"/>
          <w:highlight w:val="none"/>
          <w:lang w:eastAsia="en-US"/>
        </w:rPr>
        <w:t>际需要进行调整修改</w:t>
      </w:r>
      <w:r>
        <w:rPr>
          <w:rFonts w:hint="eastAsia" w:ascii="宋体" w:hAnsi="宋体" w:eastAsia="宋体" w:cs="宋体"/>
          <w:snapToGrid w:val="0"/>
          <w:color w:val="auto"/>
          <w:spacing w:val="-2"/>
          <w:kern w:val="0"/>
          <w:sz w:val="22"/>
          <w:szCs w:val="22"/>
          <w:highlight w:val="none"/>
          <w:lang w:eastAsia="zh-CN"/>
        </w:rPr>
        <w:t>。</w:t>
      </w:r>
    </w:p>
    <w:p w14:paraId="0D36C27A">
      <w:pPr>
        <w:widowControl w:val="0"/>
        <w:numPr>
          <w:ilvl w:val="0"/>
          <w:numId w:val="0"/>
        </w:numPr>
        <w:snapToGrid/>
        <w:spacing w:line="540" w:lineRule="exact"/>
        <w:ind w:firstLine="640" w:firstLineChars="200"/>
        <w:jc w:val="left"/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备注：考核结果应用：</w:t>
      </w:r>
    </w:p>
    <w:p w14:paraId="1EDFA166">
      <w:pPr>
        <w:widowControl/>
        <w:numPr>
          <w:ilvl w:val="0"/>
          <w:numId w:val="0"/>
        </w:numPr>
        <w:snapToGrid/>
        <w:spacing w:line="540" w:lineRule="exact"/>
        <w:ind w:firstLine="640" w:firstLineChars="200"/>
        <w:jc w:val="left"/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当</w:t>
      </w:r>
      <w:r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月任一科室考核得分80-89分时，按该科室当月总陪护收入的3%款额向中心支付服务违约金；</w:t>
      </w: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当</w:t>
      </w:r>
      <w:r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月任一科室考核得分70-79分时，按该科室当月总陪护收入的5%款额向中心支付服务违约金；</w:t>
      </w: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当</w:t>
      </w:r>
      <w:r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月任一科室考核得分60-69分时，按该科室当月总陪护收入的10%款额向中心支付服务违约金；</w:t>
      </w: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当</w:t>
      </w:r>
      <w:r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月任一科室考核得分小于60分（不及格）时，按该科室当月总陪护收入的30%款额向中心支付服务违约金。</w:t>
      </w:r>
    </w:p>
    <w:p w14:paraId="0A6754F2">
      <w:pPr>
        <w:pStyle w:val="2"/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13E6E0EA-2077-47BF-A5E4-45E2DA016D8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04BED43-AD32-47AE-A787-F0FC18BF1AF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95D0B2A-9531-4ACF-A8A8-83DCC71D679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3B15CDA-48C3-4E4F-A92A-99DC339484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54DFC"/>
    <w:rsid w:val="02F850AB"/>
    <w:rsid w:val="365916A7"/>
    <w:rsid w:val="73B5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/>
      <w:b/>
      <w:bCs/>
      <w:kern w:val="0"/>
      <w:sz w:val="24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2338</Words>
  <Characters>2416</Characters>
  <Lines>0</Lines>
  <Paragraphs>0</Paragraphs>
  <TotalTime>0</TotalTime>
  <ScaleCrop>false</ScaleCrop>
  <LinksUpToDate>false</LinksUpToDate>
  <CharactersWithSpaces>2426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2026-08-11T00:04:00Z</dcterms:created>
  <dc:creator>Lz源</dc:creator>
  <cp:lastModifiedBy>Lz源</cp:lastModifiedBy>
  <dcterms:modified xsi:type="dcterms:W3CDTF">2026-08-11T00:52:11Z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1447293F5A724E18AFAB0C7C984FAA95_13</vt:lpwstr>
  </property>
  <property fmtid="{D5CDD505-2E9C-101B-9397-08002B2CF9AE}" pid="4" name="KSOTemplateDocerSaveRecord">
    <vt:lpwstr>eyJoZGlkIjoiNTZhZTNkMWY5YzY4ZWJkMDRjNDMzYTkzYWY1NTU0M2UiLCJ1c2VySWQiOiIyMTgxMjIxMTgifQ==</vt:lpwstr>
  </property>
</Properties>
</file>