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2AA50A">
      <w:pPr>
        <w:pStyle w:val="2"/>
        <w:rPr>
          <w:rFonts w:hint="eastAsia" w:ascii="仿宋_GB2312" w:hAnsi="仿宋_GB2312" w:eastAsia="仿宋_GB2312" w:cs="仿宋_GB2312"/>
          <w:b w:val="0"/>
          <w:bCs w:val="0"/>
          <w:sz w:val="32"/>
          <w:szCs w:val="32"/>
          <w:lang w:val="en-US" w:eastAsia="zh-CN"/>
        </w:rPr>
      </w:pPr>
      <w:bookmarkStart w:id="0" w:name="_GoBack"/>
      <w:bookmarkEnd w:id="0"/>
      <w:r>
        <w:rPr>
          <w:rFonts w:hint="eastAsia" w:ascii="仿宋_GB2312" w:hAnsi="仿宋_GB2312" w:eastAsia="仿宋_GB2312" w:cs="仿宋_GB2312"/>
          <w:b w:val="0"/>
          <w:bCs w:val="0"/>
          <w:sz w:val="32"/>
          <w:szCs w:val="32"/>
          <w:lang w:val="en-US" w:eastAsia="zh-CN"/>
        </w:rPr>
        <w:t>附件4：</w:t>
      </w:r>
    </w:p>
    <w:tbl>
      <w:tblPr>
        <w:tblStyle w:val="3"/>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208"/>
        <w:gridCol w:w="4440"/>
        <w:gridCol w:w="2412"/>
      </w:tblGrid>
      <w:tr w14:paraId="5DE40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9060" w:type="dxa"/>
            <w:gridSpan w:val="3"/>
            <w:shd w:val="clear" w:color="auto" w:fill="auto"/>
            <w:noWrap w:val="0"/>
            <w:tcMar>
              <w:top w:w="-1" w:type="dxa"/>
              <w:left w:w="-1" w:type="dxa"/>
              <w:bottom w:w="-1" w:type="dxa"/>
              <w:right w:w="-1" w:type="dxa"/>
            </w:tcMar>
            <w:vAlign w:val="center"/>
          </w:tcPr>
          <w:p w14:paraId="2F0A1006">
            <w:pPr>
              <w:keepNext w:val="0"/>
              <w:keepLines w:val="0"/>
              <w:widowControl/>
              <w:suppressLineNumbers w:val="0"/>
              <w:snapToGrid w:val="0"/>
              <w:spacing w:before="0" w:beforeAutospacing="0" w:after="0" w:afterAutospacing="0" w:line="300" w:lineRule="exact"/>
              <w:ind w:left="0" w:right="0" w:firstLine="0"/>
              <w:jc w:val="center"/>
              <w:textAlignment w:val="center"/>
              <w:rPr>
                <w:rFonts w:hint="eastAsia" w:ascii="仿宋" w:hAnsi="仿宋" w:eastAsia="仿宋" w:cs="仿宋"/>
                <w:b/>
                <w:bCs/>
                <w:i w:val="0"/>
                <w:iCs w:val="0"/>
                <w:color w:val="0F1115"/>
                <w:sz w:val="28"/>
                <w:szCs w:val="28"/>
                <w:u w:val="none"/>
              </w:rPr>
            </w:pPr>
            <w:r>
              <w:rPr>
                <w:rFonts w:hint="eastAsia" w:ascii="仿宋" w:hAnsi="仿宋" w:eastAsia="仿宋" w:cs="仿宋"/>
                <w:b/>
                <w:bCs/>
                <w:i w:val="0"/>
                <w:iCs w:val="0"/>
                <w:color w:val="0F1115"/>
                <w:kern w:val="0"/>
                <w:sz w:val="28"/>
                <w:szCs w:val="28"/>
                <w:u w:val="none"/>
                <w:lang w:val="en-US" w:eastAsia="zh-CN" w:bidi="ar"/>
              </w:rPr>
              <w:t>:评审标准</w:t>
            </w:r>
          </w:p>
        </w:tc>
      </w:tr>
      <w:tr w14:paraId="6B68D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208" w:type="dxa"/>
            <w:shd w:val="clear" w:color="auto" w:fill="auto"/>
            <w:noWrap w:val="0"/>
            <w:tcMar>
              <w:top w:w="-1" w:type="dxa"/>
              <w:left w:w="-1" w:type="dxa"/>
              <w:bottom w:w="-1" w:type="dxa"/>
              <w:right w:w="-1" w:type="dxa"/>
            </w:tcMar>
            <w:vAlign w:val="center"/>
          </w:tcPr>
          <w:p w14:paraId="6E42F317">
            <w:pPr>
              <w:keepNext w:val="0"/>
              <w:keepLines w:val="0"/>
              <w:widowControl/>
              <w:suppressLineNumbers w:val="0"/>
              <w:snapToGrid w:val="0"/>
              <w:spacing w:before="0" w:beforeAutospacing="0" w:after="0" w:afterAutospacing="0" w:line="300" w:lineRule="exact"/>
              <w:ind w:left="0" w:right="0" w:firstLine="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评审因素</w:t>
            </w:r>
          </w:p>
        </w:tc>
        <w:tc>
          <w:tcPr>
            <w:tcW w:w="4440" w:type="dxa"/>
            <w:shd w:val="clear" w:color="auto" w:fill="auto"/>
            <w:noWrap w:val="0"/>
            <w:tcMar>
              <w:top w:w="-1" w:type="dxa"/>
              <w:left w:w="-1" w:type="dxa"/>
              <w:bottom w:w="-1" w:type="dxa"/>
              <w:right w:w="-1" w:type="dxa"/>
            </w:tcMar>
            <w:vAlign w:val="center"/>
          </w:tcPr>
          <w:p w14:paraId="4FBA47EC">
            <w:pPr>
              <w:keepNext w:val="0"/>
              <w:keepLines w:val="0"/>
              <w:widowControl/>
              <w:suppressLineNumbers w:val="0"/>
              <w:snapToGrid w:val="0"/>
              <w:spacing w:before="0" w:beforeAutospacing="0" w:after="0" w:afterAutospacing="0" w:line="300" w:lineRule="exact"/>
              <w:ind w:left="0" w:right="0" w:firstLine="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评审标准</w:t>
            </w:r>
          </w:p>
        </w:tc>
        <w:tc>
          <w:tcPr>
            <w:tcW w:w="2412" w:type="dxa"/>
            <w:shd w:val="clear" w:color="auto" w:fill="auto"/>
            <w:noWrap w:val="0"/>
            <w:tcMar>
              <w:top w:w="-1" w:type="dxa"/>
              <w:left w:w="-1" w:type="dxa"/>
              <w:bottom w:w="-1" w:type="dxa"/>
              <w:right w:w="-1" w:type="dxa"/>
            </w:tcMar>
            <w:vAlign w:val="center"/>
          </w:tcPr>
          <w:p w14:paraId="0403A9A3">
            <w:pPr>
              <w:keepNext w:val="0"/>
              <w:keepLines w:val="0"/>
              <w:widowControl/>
              <w:suppressLineNumbers w:val="0"/>
              <w:snapToGrid w:val="0"/>
              <w:spacing w:before="0" w:beforeAutospacing="0" w:after="0" w:afterAutospacing="0" w:line="300" w:lineRule="exact"/>
              <w:ind w:left="0" w:right="0" w:firstLine="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评分依据（客观材料）</w:t>
            </w:r>
          </w:p>
        </w:tc>
      </w:tr>
      <w:tr w14:paraId="31E87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208" w:type="dxa"/>
            <w:vMerge w:val="restart"/>
            <w:shd w:val="clear" w:color="auto" w:fill="auto"/>
            <w:noWrap w:val="0"/>
            <w:tcMar>
              <w:top w:w="-1" w:type="dxa"/>
              <w:left w:w="-1" w:type="dxa"/>
              <w:bottom w:w="-1" w:type="dxa"/>
              <w:right w:w="-1" w:type="dxa"/>
            </w:tcMar>
            <w:vAlign w:val="center"/>
          </w:tcPr>
          <w:p w14:paraId="60166139">
            <w:pPr>
              <w:keepNext w:val="0"/>
              <w:keepLines w:val="0"/>
              <w:widowControl/>
              <w:suppressLineNumbers w:val="0"/>
              <w:snapToGrid w:val="0"/>
              <w:spacing w:before="0" w:beforeAutospacing="0" w:after="0" w:afterAutospacing="0" w:line="300" w:lineRule="exact"/>
              <w:ind w:left="0" w:right="0" w:firstLine="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分值构成</w:t>
            </w:r>
          </w:p>
        </w:tc>
        <w:tc>
          <w:tcPr>
            <w:tcW w:w="4440" w:type="dxa"/>
            <w:shd w:val="clear" w:color="auto" w:fill="auto"/>
            <w:noWrap w:val="0"/>
            <w:tcMar>
              <w:top w:w="-1" w:type="dxa"/>
              <w:left w:w="-1" w:type="dxa"/>
              <w:bottom w:w="-1" w:type="dxa"/>
              <w:right w:w="-1" w:type="dxa"/>
            </w:tcMar>
            <w:vAlign w:val="center"/>
          </w:tcPr>
          <w:p w14:paraId="13452C2D">
            <w:pPr>
              <w:keepNext w:val="0"/>
              <w:keepLines w:val="0"/>
              <w:widowControl/>
              <w:suppressLineNumbers w:val="0"/>
              <w:snapToGrid w:val="0"/>
              <w:spacing w:before="0" w:beforeAutospacing="0" w:after="0" w:afterAutospacing="0" w:line="300" w:lineRule="exact"/>
              <w:ind w:left="0" w:right="0" w:firstLine="641"/>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技术部分：76.0分</w:t>
            </w:r>
          </w:p>
        </w:tc>
        <w:tc>
          <w:tcPr>
            <w:tcW w:w="2412" w:type="dxa"/>
            <w:vMerge w:val="restart"/>
            <w:shd w:val="clear" w:color="auto" w:fill="auto"/>
            <w:noWrap w:val="0"/>
            <w:tcMar>
              <w:top w:w="-1" w:type="dxa"/>
              <w:left w:w="-1" w:type="dxa"/>
              <w:bottom w:w="-1" w:type="dxa"/>
              <w:right w:w="-1" w:type="dxa"/>
            </w:tcMar>
            <w:vAlign w:val="center"/>
          </w:tcPr>
          <w:p w14:paraId="2C9DFBBF">
            <w:pPr>
              <w:keepNext w:val="0"/>
              <w:keepLines w:val="0"/>
              <w:suppressLineNumbers w:val="0"/>
              <w:snapToGrid w:val="0"/>
              <w:spacing w:before="0" w:beforeAutospacing="0" w:after="0" w:afterAutospacing="0" w:line="300" w:lineRule="exact"/>
              <w:ind w:left="0" w:right="0" w:firstLine="641"/>
              <w:rPr>
                <w:rFonts w:hint="eastAsia" w:ascii="仿宋" w:hAnsi="仿宋" w:eastAsia="仿宋" w:cs="仿宋"/>
                <w:i w:val="0"/>
                <w:iCs w:val="0"/>
                <w:color w:val="000000"/>
                <w:sz w:val="28"/>
                <w:szCs w:val="28"/>
                <w:u w:val="none"/>
              </w:rPr>
            </w:pPr>
          </w:p>
        </w:tc>
      </w:tr>
      <w:tr w14:paraId="4FD88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08" w:type="dxa"/>
            <w:vMerge w:val="continue"/>
            <w:shd w:val="clear" w:color="auto" w:fill="auto"/>
            <w:noWrap w:val="0"/>
            <w:tcMar>
              <w:top w:w="-1" w:type="dxa"/>
              <w:left w:w="-1" w:type="dxa"/>
              <w:bottom w:w="-1" w:type="dxa"/>
              <w:right w:w="-1" w:type="dxa"/>
            </w:tcMar>
            <w:vAlign w:val="center"/>
          </w:tcPr>
          <w:p w14:paraId="228C20ED">
            <w:pPr>
              <w:keepNext w:val="0"/>
              <w:keepLines w:val="0"/>
              <w:suppressLineNumbers w:val="0"/>
              <w:snapToGrid w:val="0"/>
              <w:spacing w:before="0" w:beforeAutospacing="0" w:after="0" w:afterAutospacing="0" w:line="300" w:lineRule="exact"/>
              <w:ind w:left="0" w:right="0" w:firstLine="641"/>
              <w:rPr>
                <w:rFonts w:hint="eastAsia" w:ascii="仿宋" w:hAnsi="仿宋" w:eastAsia="仿宋" w:cs="仿宋"/>
                <w:i w:val="0"/>
                <w:iCs w:val="0"/>
                <w:color w:val="000000"/>
                <w:sz w:val="28"/>
                <w:szCs w:val="28"/>
                <w:u w:val="none"/>
              </w:rPr>
            </w:pPr>
          </w:p>
        </w:tc>
        <w:tc>
          <w:tcPr>
            <w:tcW w:w="4440" w:type="dxa"/>
            <w:shd w:val="clear" w:color="auto" w:fill="auto"/>
            <w:noWrap w:val="0"/>
            <w:tcMar>
              <w:top w:w="-1" w:type="dxa"/>
              <w:left w:w="-1" w:type="dxa"/>
              <w:bottom w:w="-1" w:type="dxa"/>
              <w:right w:w="-1" w:type="dxa"/>
            </w:tcMar>
            <w:vAlign w:val="center"/>
          </w:tcPr>
          <w:p w14:paraId="55AF202B">
            <w:pPr>
              <w:keepNext w:val="0"/>
              <w:keepLines w:val="0"/>
              <w:widowControl/>
              <w:suppressLineNumbers w:val="0"/>
              <w:snapToGrid w:val="0"/>
              <w:spacing w:before="0" w:beforeAutospacing="0" w:after="0" w:afterAutospacing="0" w:line="300" w:lineRule="exact"/>
              <w:ind w:left="0" w:right="0" w:firstLine="641"/>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商务部分：8.0分</w:t>
            </w:r>
          </w:p>
        </w:tc>
        <w:tc>
          <w:tcPr>
            <w:tcW w:w="2412" w:type="dxa"/>
            <w:vMerge w:val="continue"/>
            <w:shd w:val="clear" w:color="auto" w:fill="auto"/>
            <w:noWrap w:val="0"/>
            <w:tcMar>
              <w:top w:w="-1" w:type="dxa"/>
              <w:left w:w="-1" w:type="dxa"/>
              <w:bottom w:w="-1" w:type="dxa"/>
              <w:right w:w="-1" w:type="dxa"/>
            </w:tcMar>
            <w:vAlign w:val="center"/>
          </w:tcPr>
          <w:p w14:paraId="7E65C23C">
            <w:pPr>
              <w:keepNext w:val="0"/>
              <w:keepLines w:val="0"/>
              <w:suppressLineNumbers w:val="0"/>
              <w:snapToGrid w:val="0"/>
              <w:spacing w:before="0" w:beforeAutospacing="0" w:after="0" w:afterAutospacing="0" w:line="300" w:lineRule="exact"/>
              <w:ind w:left="0" w:right="0" w:firstLine="641"/>
              <w:rPr>
                <w:rFonts w:hint="eastAsia" w:ascii="仿宋" w:hAnsi="仿宋" w:eastAsia="仿宋" w:cs="仿宋"/>
                <w:i w:val="0"/>
                <w:iCs w:val="0"/>
                <w:color w:val="000000"/>
                <w:sz w:val="28"/>
                <w:szCs w:val="28"/>
                <w:u w:val="none"/>
              </w:rPr>
            </w:pPr>
          </w:p>
        </w:tc>
      </w:tr>
      <w:tr w14:paraId="3BA36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208" w:type="dxa"/>
            <w:vMerge w:val="continue"/>
            <w:shd w:val="clear" w:color="auto" w:fill="auto"/>
            <w:noWrap w:val="0"/>
            <w:tcMar>
              <w:top w:w="-1" w:type="dxa"/>
              <w:left w:w="-1" w:type="dxa"/>
              <w:bottom w:w="-1" w:type="dxa"/>
              <w:right w:w="-1" w:type="dxa"/>
            </w:tcMar>
            <w:vAlign w:val="center"/>
          </w:tcPr>
          <w:p w14:paraId="55EA0CE4">
            <w:pPr>
              <w:keepNext w:val="0"/>
              <w:keepLines w:val="0"/>
              <w:widowControl/>
              <w:suppressLineNumbers w:val="0"/>
              <w:snapToGrid w:val="0"/>
              <w:spacing w:before="0" w:beforeAutospacing="0" w:after="0" w:afterAutospacing="0" w:line="300" w:lineRule="exact"/>
              <w:ind w:left="0" w:right="0" w:firstLine="641"/>
              <w:jc w:val="center"/>
              <w:textAlignment w:val="center"/>
              <w:rPr>
                <w:rFonts w:hint="eastAsia" w:ascii="仿宋" w:hAnsi="仿宋" w:eastAsia="仿宋" w:cs="仿宋"/>
                <w:i w:val="0"/>
                <w:iCs w:val="0"/>
                <w:color w:val="000000"/>
                <w:kern w:val="0"/>
                <w:sz w:val="28"/>
                <w:szCs w:val="28"/>
                <w:u w:val="none"/>
                <w:lang w:val="en-US" w:eastAsia="zh-CN" w:bidi="ar"/>
              </w:rPr>
            </w:pPr>
          </w:p>
        </w:tc>
        <w:tc>
          <w:tcPr>
            <w:tcW w:w="4440" w:type="dxa"/>
            <w:shd w:val="clear" w:color="auto" w:fill="auto"/>
            <w:noWrap w:val="0"/>
            <w:tcMar>
              <w:top w:w="-1" w:type="dxa"/>
              <w:left w:w="-1" w:type="dxa"/>
              <w:bottom w:w="-1" w:type="dxa"/>
              <w:right w:w="-1" w:type="dxa"/>
            </w:tcMar>
            <w:vAlign w:val="center"/>
          </w:tcPr>
          <w:p w14:paraId="4B175170">
            <w:pPr>
              <w:keepNext w:val="0"/>
              <w:keepLines w:val="0"/>
              <w:widowControl/>
              <w:suppressLineNumbers w:val="0"/>
              <w:snapToGrid w:val="0"/>
              <w:spacing w:before="0" w:beforeAutospacing="0" w:after="0" w:afterAutospacing="0" w:line="300" w:lineRule="exact"/>
              <w:ind w:left="0" w:right="0" w:firstLine="641"/>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价格部分：16.0分</w:t>
            </w:r>
          </w:p>
        </w:tc>
        <w:tc>
          <w:tcPr>
            <w:tcW w:w="2412" w:type="dxa"/>
            <w:vMerge w:val="continue"/>
            <w:shd w:val="clear" w:color="auto" w:fill="auto"/>
            <w:noWrap w:val="0"/>
            <w:tcMar>
              <w:top w:w="-1" w:type="dxa"/>
              <w:left w:w="-1" w:type="dxa"/>
              <w:bottom w:w="-1" w:type="dxa"/>
              <w:right w:w="-1" w:type="dxa"/>
            </w:tcMar>
            <w:vAlign w:val="center"/>
          </w:tcPr>
          <w:p w14:paraId="17B7983F">
            <w:pPr>
              <w:keepNext w:val="0"/>
              <w:keepLines w:val="0"/>
              <w:widowControl/>
              <w:suppressLineNumbers w:val="0"/>
              <w:snapToGrid w:val="0"/>
              <w:spacing w:before="0" w:beforeAutospacing="0" w:after="0" w:afterAutospacing="0" w:line="300" w:lineRule="exact"/>
              <w:ind w:left="0" w:right="0" w:firstLine="641"/>
              <w:jc w:val="center"/>
              <w:textAlignment w:val="center"/>
              <w:rPr>
                <w:rFonts w:hint="eastAsia" w:ascii="仿宋" w:hAnsi="仿宋" w:eastAsia="仿宋" w:cs="仿宋"/>
                <w:i w:val="0"/>
                <w:iCs w:val="0"/>
                <w:color w:val="000000"/>
                <w:kern w:val="0"/>
                <w:sz w:val="28"/>
                <w:szCs w:val="28"/>
                <w:u w:val="none"/>
                <w:lang w:val="en-US" w:eastAsia="zh-CN" w:bidi="ar"/>
              </w:rPr>
            </w:pPr>
          </w:p>
        </w:tc>
      </w:tr>
      <w:tr w14:paraId="1B397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60" w:type="dxa"/>
            <w:gridSpan w:val="3"/>
            <w:shd w:val="clear" w:color="auto" w:fill="auto"/>
            <w:noWrap w:val="0"/>
            <w:tcMar>
              <w:top w:w="-1" w:type="dxa"/>
              <w:left w:w="-1" w:type="dxa"/>
              <w:bottom w:w="-1" w:type="dxa"/>
              <w:right w:w="-1" w:type="dxa"/>
            </w:tcMar>
            <w:vAlign w:val="center"/>
          </w:tcPr>
          <w:p w14:paraId="66DCE604">
            <w:pPr>
              <w:keepNext w:val="0"/>
              <w:keepLines w:val="0"/>
              <w:widowControl/>
              <w:suppressLineNumbers w:val="0"/>
              <w:snapToGrid w:val="0"/>
              <w:spacing w:before="0" w:beforeAutospacing="0" w:after="0" w:afterAutospacing="0" w:line="300" w:lineRule="exact"/>
              <w:ind w:left="0" w:right="0" w:firstLine="641"/>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技术部分 (76.0分)</w:t>
            </w:r>
          </w:p>
        </w:tc>
      </w:tr>
      <w:tr w14:paraId="68652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208" w:type="dxa"/>
            <w:shd w:val="clear" w:color="auto" w:fill="auto"/>
            <w:noWrap w:val="0"/>
            <w:tcMar>
              <w:top w:w="-1" w:type="dxa"/>
              <w:left w:w="-1" w:type="dxa"/>
              <w:bottom w:w="-1" w:type="dxa"/>
              <w:right w:w="-1" w:type="dxa"/>
            </w:tcMar>
            <w:vAlign w:val="center"/>
          </w:tcPr>
          <w:p w14:paraId="427E7552">
            <w:pPr>
              <w:keepNext w:val="0"/>
              <w:keepLines w:val="0"/>
              <w:widowControl/>
              <w:suppressLineNumbers w:val="0"/>
              <w:snapToGrid w:val="0"/>
              <w:spacing w:before="0" w:beforeAutospacing="0" w:after="0" w:afterAutospacing="0" w:line="300" w:lineRule="exact"/>
              <w:ind w:left="0" w:right="0" w:firstLine="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 xml:space="preserve">1.对采购需求书中带 “★” 号重要服务要求的响应情况 </w:t>
            </w:r>
          </w:p>
        </w:tc>
        <w:tc>
          <w:tcPr>
            <w:tcW w:w="4440" w:type="dxa"/>
            <w:shd w:val="clear" w:color="auto" w:fill="auto"/>
            <w:noWrap w:val="0"/>
            <w:tcMar>
              <w:top w:w="-1" w:type="dxa"/>
              <w:left w:w="-1" w:type="dxa"/>
              <w:bottom w:w="-1" w:type="dxa"/>
              <w:right w:w="-1" w:type="dxa"/>
            </w:tcMar>
            <w:vAlign w:val="center"/>
          </w:tcPr>
          <w:p w14:paraId="44D29F7C">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本项</w:t>
            </w:r>
            <w:r>
              <w:rPr>
                <w:rFonts w:hint="eastAsia" w:ascii="仿宋" w:hAnsi="仿宋" w:eastAsia="仿宋" w:cs="仿宋"/>
                <w:i w:val="0"/>
                <w:iCs w:val="0"/>
                <w:color w:val="000000"/>
                <w:sz w:val="28"/>
                <w:szCs w:val="28"/>
                <w:u w:val="none"/>
                <w:lang w:eastAsia="zh-CN"/>
              </w:rPr>
              <w:t>为符合性审查项，不参与评分。</w:t>
            </w:r>
            <w:r>
              <w:rPr>
                <w:rFonts w:hint="eastAsia" w:ascii="仿宋" w:hAnsi="仿宋" w:eastAsia="仿宋" w:cs="仿宋"/>
                <w:i w:val="0"/>
                <w:iCs w:val="0"/>
                <w:color w:val="000000"/>
                <w:sz w:val="28"/>
                <w:szCs w:val="28"/>
                <w:u w:val="none"/>
              </w:rPr>
              <w:t>投标人所投服务须</w:t>
            </w:r>
            <w:r>
              <w:rPr>
                <w:rFonts w:hint="eastAsia" w:ascii="仿宋" w:hAnsi="仿宋" w:eastAsia="仿宋" w:cs="仿宋"/>
                <w:i w:val="0"/>
                <w:iCs w:val="0"/>
                <w:color w:val="000000"/>
                <w:sz w:val="28"/>
                <w:szCs w:val="28"/>
                <w:u w:val="none"/>
                <w:lang w:eastAsia="zh-CN"/>
              </w:rPr>
              <w:t>完全</w:t>
            </w:r>
            <w:r>
              <w:rPr>
                <w:rFonts w:hint="eastAsia" w:ascii="仿宋" w:hAnsi="仿宋" w:eastAsia="仿宋" w:cs="仿宋"/>
                <w:i w:val="0"/>
                <w:iCs w:val="0"/>
                <w:color w:val="000000"/>
                <w:sz w:val="28"/>
                <w:szCs w:val="28"/>
                <w:u w:val="none"/>
              </w:rPr>
              <w:t>满足</w:t>
            </w:r>
            <w:r>
              <w:rPr>
                <w:rFonts w:hint="eastAsia" w:ascii="仿宋" w:hAnsi="仿宋" w:eastAsia="仿宋" w:cs="仿宋"/>
                <w:i w:val="0"/>
                <w:iCs w:val="0"/>
                <w:color w:val="000000"/>
                <w:sz w:val="28"/>
                <w:szCs w:val="28"/>
                <w:u w:val="none"/>
                <w:lang w:eastAsia="zh-CN"/>
              </w:rPr>
              <w:t>或优于采购需求“技术要求”中</w:t>
            </w:r>
            <w:r>
              <w:rPr>
                <w:rFonts w:hint="eastAsia" w:ascii="仿宋" w:hAnsi="仿宋" w:eastAsia="仿宋" w:cs="仿宋"/>
                <w:i w:val="0"/>
                <w:iCs w:val="0"/>
                <w:color w:val="000000"/>
                <w:sz w:val="28"/>
                <w:szCs w:val="28"/>
                <w:u w:val="none"/>
              </w:rPr>
              <w:t>所有标注★号的强制性服务要求，任意一条★号条款</w:t>
            </w:r>
            <w:r>
              <w:rPr>
                <w:rFonts w:hint="eastAsia" w:ascii="仿宋" w:hAnsi="仿宋" w:eastAsia="仿宋" w:cs="仿宋"/>
                <w:i w:val="0"/>
                <w:iCs w:val="0"/>
                <w:color w:val="000000"/>
                <w:sz w:val="28"/>
                <w:szCs w:val="28"/>
                <w:u w:val="none"/>
                <w:lang w:eastAsia="zh-CN"/>
              </w:rPr>
              <w:t>未</w:t>
            </w:r>
            <w:r>
              <w:rPr>
                <w:rFonts w:hint="eastAsia" w:ascii="仿宋" w:hAnsi="仿宋" w:eastAsia="仿宋" w:cs="仿宋"/>
                <w:i w:val="0"/>
                <w:iCs w:val="0"/>
                <w:color w:val="000000"/>
                <w:sz w:val="28"/>
                <w:szCs w:val="28"/>
                <w:u w:val="none"/>
              </w:rPr>
              <w:t>响应</w:t>
            </w:r>
            <w:r>
              <w:rPr>
                <w:rFonts w:hint="eastAsia" w:ascii="仿宋" w:hAnsi="仿宋" w:eastAsia="仿宋" w:cs="仿宋"/>
                <w:i w:val="0"/>
                <w:iCs w:val="0"/>
                <w:color w:val="000000"/>
                <w:sz w:val="28"/>
                <w:szCs w:val="28"/>
                <w:u w:val="none"/>
                <w:lang w:eastAsia="zh-CN"/>
              </w:rPr>
              <w:t>、虚假响应或负偏离</w:t>
            </w:r>
            <w:r>
              <w:rPr>
                <w:rFonts w:hint="eastAsia" w:ascii="仿宋" w:hAnsi="仿宋" w:eastAsia="仿宋" w:cs="仿宋"/>
                <w:i w:val="0"/>
                <w:iCs w:val="0"/>
                <w:color w:val="000000"/>
                <w:sz w:val="28"/>
                <w:szCs w:val="28"/>
                <w:u w:val="none"/>
              </w:rPr>
              <w:t>，直接按无效投标处理。</w:t>
            </w:r>
          </w:p>
        </w:tc>
        <w:tc>
          <w:tcPr>
            <w:tcW w:w="2412" w:type="dxa"/>
            <w:shd w:val="clear" w:color="auto" w:fill="auto"/>
            <w:noWrap w:val="0"/>
            <w:tcMar>
              <w:top w:w="-1" w:type="dxa"/>
              <w:left w:w="-1" w:type="dxa"/>
              <w:bottom w:w="-1" w:type="dxa"/>
              <w:right w:w="-1" w:type="dxa"/>
            </w:tcMar>
            <w:vAlign w:val="center"/>
          </w:tcPr>
          <w:p w14:paraId="4CC50128">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根据投标人提供的《技术要求响应表》及对应的承诺函、制度文件、人员资质证明等材料评审。</w:t>
            </w:r>
          </w:p>
        </w:tc>
      </w:tr>
      <w:tr w14:paraId="22EC7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208" w:type="dxa"/>
            <w:shd w:val="clear" w:color="auto" w:fill="auto"/>
            <w:noWrap w:val="0"/>
            <w:tcMar>
              <w:top w:w="-1" w:type="dxa"/>
              <w:left w:w="-1" w:type="dxa"/>
              <w:bottom w:w="-1" w:type="dxa"/>
              <w:right w:w="-1" w:type="dxa"/>
            </w:tcMar>
            <w:vAlign w:val="center"/>
          </w:tcPr>
          <w:p w14:paraId="3FE5C7B6">
            <w:pPr>
              <w:keepNext w:val="0"/>
              <w:keepLines w:val="0"/>
              <w:widowControl/>
              <w:suppressLineNumbers w:val="0"/>
              <w:snapToGrid w:val="0"/>
              <w:spacing w:before="0" w:beforeAutospacing="0" w:after="0" w:afterAutospacing="0" w:line="300" w:lineRule="exact"/>
              <w:ind w:left="0" w:right="0" w:firstLine="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2. 对采购需求书中带“▲”号重要服务要求的响应情况（24.0分）</w:t>
            </w:r>
          </w:p>
        </w:tc>
        <w:tc>
          <w:tcPr>
            <w:tcW w:w="4440" w:type="dxa"/>
            <w:shd w:val="clear" w:color="auto" w:fill="auto"/>
            <w:noWrap w:val="0"/>
            <w:tcMar>
              <w:top w:w="-1" w:type="dxa"/>
              <w:left w:w="-1" w:type="dxa"/>
              <w:bottom w:w="-1" w:type="dxa"/>
              <w:right w:w="-1" w:type="dxa"/>
            </w:tcMar>
            <w:vAlign w:val="center"/>
          </w:tcPr>
          <w:p w14:paraId="4E124915">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lang w:val="en-US" w:eastAsia="zh-CN"/>
              </w:rPr>
              <w:t>本项针对采购需求书中所有标注▲号的重要服务要求的8个细分项进行评审。投标人所投服务完全满足或优于采购需求“技术要求”中带“▲”号的重要服务要求的，得24分；每有一项带“▲”要求负偏离（不满足或未响应），扣3分，扣完为止。</w:t>
            </w:r>
          </w:p>
        </w:tc>
        <w:tc>
          <w:tcPr>
            <w:tcW w:w="2412" w:type="dxa"/>
            <w:shd w:val="clear" w:color="auto" w:fill="auto"/>
            <w:noWrap w:val="0"/>
            <w:tcMar>
              <w:top w:w="-1" w:type="dxa"/>
              <w:left w:w="-1" w:type="dxa"/>
              <w:bottom w:w="-1" w:type="dxa"/>
              <w:right w:w="-1" w:type="dxa"/>
            </w:tcMar>
            <w:vAlign w:val="center"/>
          </w:tcPr>
          <w:p w14:paraId="1B6A2BE5">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根据投标人提供的《技术要求响应表》及对应的证明材料（如服务方案、承诺函、制度文件、人员配置表等）进行评审。未按要求提供证明材料的，视为负偏离。</w:t>
            </w:r>
          </w:p>
        </w:tc>
      </w:tr>
      <w:tr w14:paraId="2B6CF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208" w:type="dxa"/>
            <w:shd w:val="clear" w:color="auto" w:fill="auto"/>
            <w:noWrap w:val="0"/>
            <w:tcMar>
              <w:top w:w="-1" w:type="dxa"/>
              <w:left w:w="-1" w:type="dxa"/>
              <w:bottom w:w="-1" w:type="dxa"/>
              <w:right w:w="-1" w:type="dxa"/>
            </w:tcMar>
            <w:vAlign w:val="center"/>
          </w:tcPr>
          <w:p w14:paraId="21B2020D">
            <w:pPr>
              <w:keepNext w:val="0"/>
              <w:keepLines w:val="0"/>
              <w:widowControl/>
              <w:suppressLineNumbers w:val="0"/>
              <w:snapToGrid w:val="0"/>
              <w:spacing w:before="0" w:beforeAutospacing="0" w:after="0" w:afterAutospacing="0" w:line="300" w:lineRule="exact"/>
              <w:ind w:left="0" w:right="0" w:firstLine="0"/>
              <w:jc w:val="left"/>
              <w:textAlignment w:val="center"/>
              <w:rPr>
                <w:rFonts w:hint="default"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3.对采购需求中除带“★、▲”号重要服务要求的响应情况 (8.0分)</w:t>
            </w:r>
          </w:p>
        </w:tc>
        <w:tc>
          <w:tcPr>
            <w:tcW w:w="4440" w:type="dxa"/>
            <w:shd w:val="clear" w:color="auto" w:fill="auto"/>
            <w:noWrap w:val="0"/>
            <w:tcMar>
              <w:top w:w="-1" w:type="dxa"/>
              <w:left w:w="-1" w:type="dxa"/>
              <w:bottom w:w="-1" w:type="dxa"/>
              <w:right w:w="-1" w:type="dxa"/>
            </w:tcMar>
            <w:vAlign w:val="center"/>
          </w:tcPr>
          <w:p w14:paraId="1E80543A">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本项针对采购需求书中所有除带“★、▲”要求的8个细分项进行评审。投标人所投服务完全满足或优于采购需求“技术要求”中除带“★、▲”号的普通服务要求的，得8分；每有一项要求负偏离，扣1分，扣完为止。</w:t>
            </w:r>
          </w:p>
        </w:tc>
        <w:tc>
          <w:tcPr>
            <w:tcW w:w="2412" w:type="dxa"/>
            <w:shd w:val="clear" w:color="auto" w:fill="auto"/>
            <w:noWrap w:val="0"/>
            <w:tcMar>
              <w:top w:w="-1" w:type="dxa"/>
              <w:left w:w="-1" w:type="dxa"/>
              <w:bottom w:w="-1" w:type="dxa"/>
              <w:right w:w="-1" w:type="dxa"/>
            </w:tcMar>
            <w:vAlign w:val="center"/>
          </w:tcPr>
          <w:p w14:paraId="460EAB06">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根据投标人提供的《技术要求响应表》、服务方案、</w:t>
            </w:r>
            <w:r>
              <w:rPr>
                <w:rFonts w:hint="eastAsia" w:ascii="仿宋" w:hAnsi="仿宋" w:eastAsia="仿宋" w:cs="仿宋"/>
                <w:i w:val="0"/>
                <w:iCs w:val="0"/>
                <w:color w:val="000000"/>
                <w:sz w:val="28"/>
                <w:szCs w:val="28"/>
                <w:u w:val="none"/>
              </w:rPr>
              <w:t>承诺函</w:t>
            </w:r>
            <w:r>
              <w:rPr>
                <w:rFonts w:hint="eastAsia" w:ascii="仿宋" w:hAnsi="仿宋" w:eastAsia="仿宋" w:cs="仿宋"/>
                <w:i w:val="0"/>
                <w:iCs w:val="0"/>
                <w:color w:val="000000"/>
                <w:sz w:val="28"/>
                <w:szCs w:val="28"/>
                <w:u w:val="none"/>
                <w:lang w:eastAsia="zh-CN"/>
              </w:rPr>
              <w:t>、</w:t>
            </w:r>
            <w:r>
              <w:rPr>
                <w:rFonts w:hint="eastAsia" w:ascii="仿宋" w:hAnsi="仿宋" w:eastAsia="仿宋" w:cs="仿宋"/>
                <w:i w:val="0"/>
                <w:iCs w:val="0"/>
                <w:color w:val="000000"/>
                <w:kern w:val="0"/>
                <w:sz w:val="28"/>
                <w:szCs w:val="28"/>
                <w:highlight w:val="none"/>
                <w:u w:val="none"/>
                <w:lang w:val="en-US" w:eastAsia="zh-CN" w:bidi="ar"/>
              </w:rPr>
              <w:t>制度文件等对应证明材料进行评审，未提供对应响应材料的，视为未响应。</w:t>
            </w:r>
          </w:p>
        </w:tc>
      </w:tr>
      <w:tr w14:paraId="78578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0" w:hRule="atLeast"/>
          <w:jc w:val="center"/>
        </w:trPr>
        <w:tc>
          <w:tcPr>
            <w:tcW w:w="2208" w:type="dxa"/>
            <w:shd w:val="clear" w:color="auto" w:fill="auto"/>
            <w:noWrap w:val="0"/>
            <w:tcMar>
              <w:top w:w="-1" w:type="dxa"/>
              <w:left w:w="-1" w:type="dxa"/>
              <w:bottom w:w="-1" w:type="dxa"/>
              <w:right w:w="-1" w:type="dxa"/>
            </w:tcMar>
            <w:vAlign w:val="center"/>
          </w:tcPr>
          <w:p w14:paraId="5C6B442B">
            <w:pPr>
              <w:keepNext w:val="0"/>
              <w:keepLines w:val="0"/>
              <w:widowControl/>
              <w:suppressLineNumbers w:val="0"/>
              <w:snapToGrid w:val="0"/>
              <w:spacing w:before="0" w:beforeAutospacing="0" w:after="0" w:afterAutospacing="0" w:line="300" w:lineRule="exact"/>
              <w:ind w:left="0" w:right="0" w:firstLine="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4.整体服务实施方案 (12分)</w:t>
            </w:r>
          </w:p>
        </w:tc>
        <w:tc>
          <w:tcPr>
            <w:tcW w:w="4440" w:type="dxa"/>
            <w:shd w:val="clear" w:color="auto" w:fill="auto"/>
            <w:noWrap w:val="0"/>
            <w:tcMar>
              <w:top w:w="-1" w:type="dxa"/>
              <w:left w:w="-1" w:type="dxa"/>
              <w:bottom w:w="-1" w:type="dxa"/>
              <w:right w:w="-1" w:type="dxa"/>
            </w:tcMar>
            <w:vAlign w:val="center"/>
          </w:tcPr>
          <w:p w14:paraId="5E1806E8">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根据投标人针对本项目所提供的整体服务实施方案（包括但不限于病区差异化运营管理、全流程服务质量管控、服务交接与动态调整机制）等内容进行评审：</w:t>
            </w:r>
            <w:r>
              <w:rPr>
                <w:rFonts w:hint="eastAsia" w:ascii="仿宋" w:hAnsi="仿宋" w:eastAsia="仿宋" w:cs="仿宋"/>
                <w:i w:val="0"/>
                <w:iCs w:val="0"/>
                <w:color w:val="000000"/>
                <w:sz w:val="28"/>
                <w:szCs w:val="28"/>
                <w:u w:val="none"/>
              </w:rPr>
              <w:br w:type="textWrapping"/>
            </w:r>
            <w:r>
              <w:rPr>
                <w:rFonts w:hint="eastAsia" w:ascii="仿宋" w:hAnsi="仿宋" w:eastAsia="仿宋" w:cs="仿宋"/>
                <w:i w:val="0"/>
                <w:iCs w:val="0"/>
                <w:color w:val="000000"/>
                <w:sz w:val="28"/>
                <w:szCs w:val="28"/>
                <w:u w:val="none"/>
                <w:lang w:val="en-US" w:eastAsia="zh-CN"/>
              </w:rPr>
              <w:t>1.</w:t>
            </w:r>
            <w:r>
              <w:rPr>
                <w:rFonts w:hint="eastAsia" w:ascii="仿宋" w:hAnsi="仿宋" w:eastAsia="仿宋" w:cs="仿宋"/>
                <w:i w:val="0"/>
                <w:iCs w:val="0"/>
                <w:color w:val="000000"/>
                <w:sz w:val="28"/>
                <w:szCs w:val="28"/>
                <w:u w:val="none"/>
              </w:rPr>
              <w:t>投标人针对本项目有明确具体的实施方案，对包干病区+竞争性病区运营模式有针对性管理措施、服务交接流程清晰、质量管控机制完善，优于或完全满足采购需求的，得</w:t>
            </w:r>
            <w:r>
              <w:rPr>
                <w:rFonts w:hint="eastAsia" w:ascii="仿宋" w:hAnsi="仿宋" w:eastAsia="仿宋" w:cs="仿宋"/>
                <w:i w:val="0"/>
                <w:iCs w:val="0"/>
                <w:color w:val="000000"/>
                <w:sz w:val="28"/>
                <w:szCs w:val="28"/>
                <w:u w:val="none"/>
                <w:lang w:eastAsia="zh-CN"/>
              </w:rPr>
              <w:t>12分</w:t>
            </w:r>
            <w:r>
              <w:rPr>
                <w:rFonts w:hint="eastAsia" w:ascii="仿宋" w:hAnsi="仿宋" w:eastAsia="仿宋" w:cs="仿宋"/>
                <w:i w:val="0"/>
                <w:iCs w:val="0"/>
                <w:color w:val="000000"/>
                <w:sz w:val="28"/>
                <w:szCs w:val="28"/>
                <w:u w:val="none"/>
              </w:rPr>
              <w:t>；</w:t>
            </w:r>
          </w:p>
          <w:p w14:paraId="26443AC1">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2.投标人针对本项目有明确的实施方案，对病区运营有基本的管理措施、服务交接流程完整、质量管控机制齐全，基本满足采购需求的，得</w:t>
            </w:r>
            <w:r>
              <w:rPr>
                <w:rFonts w:hint="eastAsia" w:ascii="仿宋" w:hAnsi="仿宋" w:eastAsia="仿宋" w:cs="仿宋"/>
                <w:i w:val="0"/>
                <w:iCs w:val="0"/>
                <w:color w:val="000000"/>
                <w:sz w:val="28"/>
                <w:szCs w:val="28"/>
                <w:u w:val="none"/>
                <w:lang w:val="en-US" w:eastAsia="zh-CN"/>
              </w:rPr>
              <w:t>8</w:t>
            </w:r>
            <w:r>
              <w:rPr>
                <w:rFonts w:hint="eastAsia" w:ascii="仿宋" w:hAnsi="仿宋" w:eastAsia="仿宋" w:cs="仿宋"/>
                <w:i w:val="0"/>
                <w:iCs w:val="0"/>
                <w:color w:val="000000"/>
                <w:sz w:val="28"/>
                <w:szCs w:val="28"/>
                <w:u w:val="none"/>
              </w:rPr>
              <w:t>分；</w:t>
            </w:r>
          </w:p>
          <w:p w14:paraId="58ED0343">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3.投标人针对本项目有简单的实施方案，对病区运营有简单的管理措施、服务交接和质量管控有基本安排，部分满足采购需求的，得</w:t>
            </w:r>
            <w:r>
              <w:rPr>
                <w:rFonts w:hint="eastAsia" w:ascii="仿宋" w:hAnsi="仿宋" w:eastAsia="仿宋" w:cs="仿宋"/>
                <w:i w:val="0"/>
                <w:iCs w:val="0"/>
                <w:color w:val="000000"/>
                <w:sz w:val="28"/>
                <w:szCs w:val="28"/>
                <w:u w:val="none"/>
                <w:lang w:val="en-US" w:eastAsia="zh-CN"/>
              </w:rPr>
              <w:t>4</w:t>
            </w:r>
            <w:r>
              <w:rPr>
                <w:rFonts w:hint="eastAsia" w:ascii="仿宋" w:hAnsi="仿宋" w:eastAsia="仿宋" w:cs="仿宋"/>
                <w:i w:val="0"/>
                <w:iCs w:val="0"/>
                <w:color w:val="000000"/>
                <w:sz w:val="28"/>
                <w:szCs w:val="28"/>
                <w:u w:val="none"/>
              </w:rPr>
              <w:t>分；</w:t>
            </w:r>
          </w:p>
          <w:p w14:paraId="5D8C4E85">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4.不提供的不得分。</w:t>
            </w:r>
          </w:p>
        </w:tc>
        <w:tc>
          <w:tcPr>
            <w:tcW w:w="2412" w:type="dxa"/>
            <w:shd w:val="clear" w:color="auto" w:fill="auto"/>
            <w:noWrap w:val="0"/>
            <w:tcMar>
              <w:top w:w="-1" w:type="dxa"/>
              <w:left w:w="-1" w:type="dxa"/>
              <w:bottom w:w="-1" w:type="dxa"/>
              <w:right w:w="-1" w:type="dxa"/>
            </w:tcMar>
            <w:vAlign w:val="center"/>
          </w:tcPr>
          <w:p w14:paraId="00CD1CD2">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提供加盖公章的整体服务实施方案。</w:t>
            </w:r>
          </w:p>
        </w:tc>
      </w:tr>
      <w:tr w14:paraId="39D4E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0" w:hRule="atLeast"/>
          <w:jc w:val="center"/>
        </w:trPr>
        <w:tc>
          <w:tcPr>
            <w:tcW w:w="2208" w:type="dxa"/>
            <w:shd w:val="clear" w:color="auto" w:fill="auto"/>
            <w:noWrap w:val="0"/>
            <w:tcMar>
              <w:top w:w="-1" w:type="dxa"/>
              <w:left w:w="-1" w:type="dxa"/>
              <w:bottom w:w="-1" w:type="dxa"/>
              <w:right w:w="-1" w:type="dxa"/>
            </w:tcMar>
            <w:vAlign w:val="center"/>
          </w:tcPr>
          <w:p w14:paraId="13F5A3E3">
            <w:pPr>
              <w:keepNext w:val="0"/>
              <w:keepLines w:val="0"/>
              <w:widowControl/>
              <w:suppressLineNumbers w:val="0"/>
              <w:snapToGrid w:val="0"/>
              <w:spacing w:before="0" w:beforeAutospacing="0" w:after="0" w:afterAutospacing="0" w:line="300" w:lineRule="exact"/>
              <w:ind w:left="0" w:right="0" w:firstLine="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5.人员管理方案与人员培训方案（</w:t>
            </w:r>
            <w:r>
              <w:rPr>
                <w:rFonts w:hint="eastAsia" w:ascii="仿宋" w:hAnsi="仿宋" w:eastAsia="仿宋" w:cs="仿宋"/>
                <w:i w:val="0"/>
                <w:iCs w:val="0"/>
                <w:color w:val="000000"/>
                <w:kern w:val="0"/>
                <w:sz w:val="28"/>
                <w:szCs w:val="28"/>
                <w:highlight w:val="none"/>
                <w:u w:val="none"/>
                <w:lang w:val="en-US" w:eastAsia="zh-CN" w:bidi="ar"/>
              </w:rPr>
              <w:t>8分</w:t>
            </w:r>
            <w:r>
              <w:rPr>
                <w:rFonts w:hint="eastAsia" w:ascii="仿宋" w:hAnsi="仿宋" w:eastAsia="仿宋" w:cs="仿宋"/>
                <w:i w:val="0"/>
                <w:iCs w:val="0"/>
                <w:color w:val="000000"/>
                <w:kern w:val="0"/>
                <w:sz w:val="28"/>
                <w:szCs w:val="28"/>
                <w:u w:val="none"/>
                <w:lang w:val="en-US" w:eastAsia="zh-CN" w:bidi="ar"/>
              </w:rPr>
              <w:t>）</w:t>
            </w:r>
          </w:p>
        </w:tc>
        <w:tc>
          <w:tcPr>
            <w:tcW w:w="4440" w:type="dxa"/>
            <w:shd w:val="clear" w:color="auto" w:fill="auto"/>
            <w:noWrap w:val="0"/>
            <w:tcMar>
              <w:top w:w="-1" w:type="dxa"/>
              <w:left w:w="-1" w:type="dxa"/>
              <w:bottom w:w="-1" w:type="dxa"/>
              <w:right w:w="-1" w:type="dxa"/>
            </w:tcMar>
            <w:vAlign w:val="center"/>
          </w:tcPr>
          <w:p w14:paraId="29D7576E">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000000"/>
                <w:sz w:val="28"/>
                <w:szCs w:val="28"/>
                <w:u w:val="none"/>
              </w:rPr>
              <w:t>根据投标人针对本项目所提供的人员管理及培训方案（包括但不限于项目人员组织管理体系、人员准入储备、日常奖惩档案管理、全员保险保障、岗前/月度/季度分层培训、考核复训清退机制）等内容进行评审</w:t>
            </w:r>
            <w:r>
              <w:rPr>
                <w:rFonts w:hint="eastAsia" w:ascii="仿宋" w:hAnsi="仿宋" w:eastAsia="仿宋" w:cs="仿宋"/>
                <w:i w:val="0"/>
                <w:iCs w:val="0"/>
                <w:color w:val="000000"/>
                <w:sz w:val="28"/>
                <w:szCs w:val="28"/>
                <w:u w:val="none"/>
                <w:lang w:eastAsia="zh-CN"/>
              </w:rPr>
              <w:t>。</w:t>
            </w:r>
            <w:r>
              <w:rPr>
                <w:rFonts w:hint="eastAsia" w:ascii="仿宋" w:hAnsi="仿宋" w:eastAsia="仿宋" w:cs="仿宋"/>
                <w:i w:val="0"/>
                <w:iCs w:val="0"/>
                <w:color w:val="000000"/>
                <w:sz w:val="28"/>
                <w:szCs w:val="28"/>
                <w:u w:val="none"/>
                <w:lang w:val="en-US" w:eastAsia="zh-CN"/>
              </w:rPr>
              <w:t>1.</w:t>
            </w:r>
            <w:r>
              <w:rPr>
                <w:rFonts w:hint="eastAsia" w:ascii="仿宋" w:hAnsi="仿宋" w:eastAsia="仿宋" w:cs="仿宋"/>
                <w:i w:val="0"/>
                <w:iCs w:val="0"/>
                <w:color w:val="000000"/>
                <w:sz w:val="28"/>
                <w:szCs w:val="28"/>
                <w:u w:val="none"/>
              </w:rPr>
              <w:t>投标人针对本项目有明确具体的人员管理及培训方案，对人员组织架构、准入储备、</w:t>
            </w:r>
            <w:r>
              <w:rPr>
                <w:rFonts w:hint="eastAsia" w:ascii="仿宋" w:hAnsi="仿宋" w:eastAsia="仿宋" w:cs="仿宋"/>
                <w:i w:val="0"/>
                <w:iCs w:val="0"/>
                <w:color w:val="auto"/>
                <w:sz w:val="28"/>
                <w:szCs w:val="28"/>
                <w:u w:val="none"/>
              </w:rPr>
              <w:t>分层培训、考核清退有针对性保障措施，优于或完全满足采购需求的，</w:t>
            </w:r>
            <w:r>
              <w:rPr>
                <w:rFonts w:hint="eastAsia" w:ascii="仿宋" w:hAnsi="仿宋" w:eastAsia="仿宋" w:cs="仿宋"/>
                <w:i w:val="0"/>
                <w:iCs w:val="0"/>
                <w:color w:val="auto"/>
                <w:sz w:val="28"/>
                <w:szCs w:val="28"/>
                <w:highlight w:val="none"/>
                <w:u w:val="none"/>
              </w:rPr>
              <w:t>得</w:t>
            </w:r>
            <w:r>
              <w:rPr>
                <w:rFonts w:hint="eastAsia" w:ascii="仿宋" w:hAnsi="仿宋" w:eastAsia="仿宋" w:cs="仿宋"/>
                <w:i w:val="0"/>
                <w:iCs w:val="0"/>
                <w:color w:val="auto"/>
                <w:sz w:val="28"/>
                <w:szCs w:val="28"/>
                <w:highlight w:val="none"/>
                <w:u w:val="none"/>
                <w:lang w:val="en-US" w:eastAsia="zh-CN"/>
              </w:rPr>
              <w:t>8</w:t>
            </w:r>
            <w:r>
              <w:rPr>
                <w:rFonts w:hint="eastAsia" w:ascii="仿宋" w:hAnsi="仿宋" w:eastAsia="仿宋" w:cs="仿宋"/>
                <w:i w:val="0"/>
                <w:iCs w:val="0"/>
                <w:color w:val="auto"/>
                <w:sz w:val="28"/>
                <w:szCs w:val="28"/>
                <w:highlight w:val="none"/>
                <w:u w:val="none"/>
              </w:rPr>
              <w:t>分</w:t>
            </w:r>
            <w:r>
              <w:rPr>
                <w:rFonts w:hint="eastAsia" w:ascii="仿宋" w:hAnsi="仿宋" w:eastAsia="仿宋" w:cs="仿宋"/>
                <w:i w:val="0"/>
                <w:iCs w:val="0"/>
                <w:color w:val="auto"/>
                <w:sz w:val="28"/>
                <w:szCs w:val="28"/>
                <w:u w:val="none"/>
              </w:rPr>
              <w:t>；</w:t>
            </w:r>
          </w:p>
          <w:p w14:paraId="6DBD8790">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sz w:val="28"/>
                <w:szCs w:val="28"/>
                <w:u w:val="none"/>
              </w:rPr>
              <w:t>2.投标人针对本项目有明确的人员管理及培训方案，对人员组织、培训、考核有基本保障措施，基本满足采购需求的，得</w:t>
            </w:r>
            <w:r>
              <w:rPr>
                <w:rFonts w:hint="eastAsia" w:ascii="仿宋" w:hAnsi="仿宋" w:eastAsia="仿宋" w:cs="仿宋"/>
                <w:i w:val="0"/>
                <w:iCs w:val="0"/>
                <w:color w:val="auto"/>
                <w:sz w:val="28"/>
                <w:szCs w:val="28"/>
                <w:u w:val="none"/>
                <w:lang w:val="en-US" w:eastAsia="zh-CN"/>
              </w:rPr>
              <w:t>5</w:t>
            </w:r>
            <w:r>
              <w:rPr>
                <w:rFonts w:hint="eastAsia" w:ascii="仿宋" w:hAnsi="仿宋" w:eastAsia="仿宋" w:cs="仿宋"/>
                <w:i w:val="0"/>
                <w:iCs w:val="0"/>
                <w:color w:val="auto"/>
                <w:sz w:val="28"/>
                <w:szCs w:val="28"/>
                <w:u w:val="none"/>
              </w:rPr>
              <w:t>分；</w:t>
            </w:r>
          </w:p>
          <w:p w14:paraId="2D72851E">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auto"/>
                <w:sz w:val="28"/>
                <w:szCs w:val="28"/>
                <w:u w:val="none"/>
              </w:rPr>
              <w:t>3.投标人针对本项目有简单的</w:t>
            </w:r>
            <w:r>
              <w:rPr>
                <w:rFonts w:hint="eastAsia" w:ascii="仿宋" w:hAnsi="仿宋" w:eastAsia="仿宋" w:cs="仿宋"/>
                <w:i w:val="0"/>
                <w:iCs w:val="0"/>
                <w:color w:val="000000"/>
                <w:sz w:val="28"/>
                <w:szCs w:val="28"/>
                <w:u w:val="none"/>
              </w:rPr>
              <w:t>人员管理及</w:t>
            </w:r>
            <w:r>
              <w:rPr>
                <w:rFonts w:hint="eastAsia" w:ascii="仿宋" w:hAnsi="仿宋" w:eastAsia="仿宋" w:cs="仿宋"/>
                <w:i w:val="0"/>
                <w:iCs w:val="0"/>
                <w:color w:val="auto"/>
                <w:sz w:val="28"/>
                <w:szCs w:val="28"/>
                <w:u w:val="none"/>
              </w:rPr>
              <w:t>培训方案，对人员管理和培训有基础安排，部分满足采购需求的，得</w:t>
            </w:r>
            <w:r>
              <w:rPr>
                <w:rFonts w:hint="eastAsia" w:ascii="仿宋" w:hAnsi="仿宋" w:eastAsia="仿宋" w:cs="仿宋"/>
                <w:i w:val="0"/>
                <w:iCs w:val="0"/>
                <w:color w:val="auto"/>
                <w:sz w:val="28"/>
                <w:szCs w:val="28"/>
                <w:u w:val="none"/>
                <w:lang w:val="en-US" w:eastAsia="zh-CN"/>
              </w:rPr>
              <w:t>3</w:t>
            </w:r>
            <w:r>
              <w:rPr>
                <w:rFonts w:hint="eastAsia" w:ascii="仿宋" w:hAnsi="仿宋" w:eastAsia="仿宋" w:cs="仿宋"/>
                <w:i w:val="0"/>
                <w:iCs w:val="0"/>
                <w:color w:val="auto"/>
                <w:sz w:val="28"/>
                <w:szCs w:val="28"/>
                <w:u w:val="none"/>
              </w:rPr>
              <w:t>分；</w:t>
            </w:r>
          </w:p>
          <w:p w14:paraId="36DCAF48">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4.不提供的不得分。</w:t>
            </w:r>
          </w:p>
        </w:tc>
        <w:tc>
          <w:tcPr>
            <w:tcW w:w="2412" w:type="dxa"/>
            <w:shd w:val="clear" w:color="auto" w:fill="auto"/>
            <w:noWrap w:val="0"/>
            <w:tcMar>
              <w:top w:w="-1" w:type="dxa"/>
              <w:left w:w="-1" w:type="dxa"/>
              <w:bottom w:w="-1" w:type="dxa"/>
              <w:right w:w="-1" w:type="dxa"/>
            </w:tcMar>
            <w:vAlign w:val="center"/>
          </w:tcPr>
          <w:p w14:paraId="081164BD">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提供加盖公章的人员管理方案、培训方案、考核制度等文件。</w:t>
            </w:r>
          </w:p>
        </w:tc>
      </w:tr>
      <w:tr w14:paraId="4BB72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0" w:hRule="atLeast"/>
          <w:jc w:val="center"/>
        </w:trPr>
        <w:tc>
          <w:tcPr>
            <w:tcW w:w="2208" w:type="dxa"/>
            <w:shd w:val="clear" w:color="auto" w:fill="auto"/>
            <w:noWrap w:val="0"/>
            <w:tcMar>
              <w:top w:w="-1" w:type="dxa"/>
              <w:left w:w="-1" w:type="dxa"/>
              <w:bottom w:w="-1" w:type="dxa"/>
              <w:right w:w="-1" w:type="dxa"/>
            </w:tcMar>
            <w:vAlign w:val="center"/>
          </w:tcPr>
          <w:p w14:paraId="653176D2">
            <w:pPr>
              <w:keepNext w:val="0"/>
              <w:keepLines w:val="0"/>
              <w:widowControl/>
              <w:suppressLineNumbers w:val="0"/>
              <w:snapToGrid w:val="0"/>
              <w:spacing w:before="0" w:beforeAutospacing="0" w:after="0" w:afterAutospacing="0" w:line="300" w:lineRule="exact"/>
              <w:ind w:left="0" w:right="0" w:firstLine="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6.人员配置 (8分)</w:t>
            </w:r>
          </w:p>
        </w:tc>
        <w:tc>
          <w:tcPr>
            <w:tcW w:w="4440" w:type="dxa"/>
            <w:shd w:val="clear" w:color="auto" w:fill="auto"/>
            <w:noWrap w:val="0"/>
            <w:tcMar>
              <w:top w:w="-1" w:type="dxa"/>
              <w:left w:w="-1" w:type="dxa"/>
              <w:bottom w:w="-1" w:type="dxa"/>
              <w:right w:w="-1" w:type="dxa"/>
            </w:tcMar>
            <w:vAlign w:val="center"/>
          </w:tcPr>
          <w:p w14:paraId="2EA8299E">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根据投标人针对本项目拟投入的人员配置规划方案（包括但不限于项目组织架构、项目经理及管理员岗位配置、人员储备、持证体检、人员保障承诺）等内容进行评审：</w:t>
            </w:r>
          </w:p>
          <w:p w14:paraId="74E02C3F">
            <w:pPr>
              <w:keepNext w:val="0"/>
              <w:keepLines w:val="0"/>
              <w:widowControl/>
              <w:numPr>
                <w:ilvl w:val="0"/>
                <w:numId w:val="0"/>
              </w:numPr>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2"/>
                <w:sz w:val="28"/>
                <w:szCs w:val="28"/>
                <w:lang w:val="en-US" w:eastAsia="zh-CN" w:bidi="ar-SA"/>
              </w:rPr>
              <w:t>1.</w:t>
            </w:r>
            <w:r>
              <w:rPr>
                <w:rFonts w:hint="eastAsia" w:ascii="仿宋" w:hAnsi="仿宋" w:eastAsia="仿宋" w:cs="仿宋"/>
                <w:i w:val="0"/>
                <w:iCs w:val="0"/>
                <w:color w:val="000000"/>
                <w:sz w:val="28"/>
                <w:szCs w:val="28"/>
                <w:u w:val="none"/>
              </w:rPr>
              <w:t>投标人针对本项目</w:t>
            </w:r>
            <w:r>
              <w:rPr>
                <w:rFonts w:hint="eastAsia" w:ascii="仿宋" w:hAnsi="仿宋" w:eastAsia="仿宋" w:cs="仿宋"/>
                <w:i w:val="0"/>
                <w:iCs w:val="0"/>
                <w:color w:val="000000"/>
                <w:kern w:val="2"/>
                <w:sz w:val="28"/>
                <w:szCs w:val="28"/>
                <w:lang w:val="en-US" w:eastAsia="zh-CN" w:bidi="ar-SA"/>
              </w:rPr>
              <w:t>有</w:t>
            </w:r>
            <w:r>
              <w:rPr>
                <w:rFonts w:hint="eastAsia" w:ascii="仿宋" w:hAnsi="仿宋" w:eastAsia="仿宋" w:cs="仿宋"/>
                <w:i w:val="0"/>
                <w:iCs w:val="0"/>
                <w:color w:val="000000"/>
                <w:sz w:val="28"/>
                <w:szCs w:val="28"/>
                <w:u w:val="none"/>
              </w:rPr>
              <w:t>明确具体的人员配置规划，对项目经理及管</w:t>
            </w:r>
            <w:r>
              <w:rPr>
                <w:rFonts w:hint="eastAsia" w:ascii="仿宋" w:hAnsi="仿宋" w:eastAsia="仿宋" w:cs="仿宋"/>
                <w:i w:val="0"/>
                <w:iCs w:val="0"/>
                <w:color w:val="000000"/>
                <w:sz w:val="28"/>
                <w:szCs w:val="28"/>
                <w:u w:val="none"/>
                <w:lang w:eastAsia="zh-CN"/>
              </w:rPr>
              <w:t>理人</w:t>
            </w:r>
            <w:r>
              <w:rPr>
                <w:rFonts w:hint="eastAsia" w:ascii="仿宋" w:hAnsi="仿宋" w:eastAsia="仿宋" w:cs="仿宋"/>
                <w:i w:val="0"/>
                <w:iCs w:val="0"/>
                <w:color w:val="000000"/>
                <w:sz w:val="28"/>
                <w:szCs w:val="28"/>
                <w:u w:val="none"/>
              </w:rPr>
              <w:t>员配置、人员储备数量、持证体检要求有具体</w:t>
            </w:r>
            <w:r>
              <w:rPr>
                <w:rFonts w:hint="eastAsia" w:ascii="仿宋" w:hAnsi="仿宋" w:eastAsia="仿宋" w:cs="仿宋"/>
                <w:i w:val="0"/>
                <w:iCs w:val="0"/>
                <w:color w:val="000000"/>
                <w:sz w:val="28"/>
                <w:szCs w:val="28"/>
                <w:u w:val="none"/>
                <w:lang w:eastAsia="zh-CN"/>
              </w:rPr>
              <w:t>完善</w:t>
            </w:r>
            <w:r>
              <w:rPr>
                <w:rFonts w:hint="eastAsia" w:ascii="仿宋" w:hAnsi="仿宋" w:eastAsia="仿宋" w:cs="仿宋"/>
                <w:i w:val="0"/>
                <w:iCs w:val="0"/>
                <w:color w:val="000000"/>
                <w:sz w:val="28"/>
                <w:szCs w:val="28"/>
                <w:u w:val="none"/>
              </w:rPr>
              <w:t>保障措施，优于或完全满足采购需求的，得</w:t>
            </w:r>
            <w:r>
              <w:rPr>
                <w:rFonts w:hint="eastAsia" w:ascii="仿宋" w:hAnsi="仿宋" w:eastAsia="仿宋" w:cs="仿宋"/>
                <w:i w:val="0"/>
                <w:iCs w:val="0"/>
                <w:color w:val="000000"/>
                <w:sz w:val="28"/>
                <w:szCs w:val="28"/>
                <w:u w:val="none"/>
                <w:lang w:val="en-US" w:eastAsia="zh-CN"/>
              </w:rPr>
              <w:t>8</w:t>
            </w:r>
            <w:r>
              <w:rPr>
                <w:rFonts w:hint="eastAsia" w:ascii="仿宋" w:hAnsi="仿宋" w:eastAsia="仿宋" w:cs="仿宋"/>
                <w:i w:val="0"/>
                <w:iCs w:val="0"/>
                <w:color w:val="000000"/>
                <w:sz w:val="28"/>
                <w:szCs w:val="28"/>
                <w:u w:val="none"/>
              </w:rPr>
              <w:t>分；</w:t>
            </w:r>
          </w:p>
          <w:p w14:paraId="15C4F48D">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2.投标人针对本项目有明确的人员配置规划，对岗位配置、人员储备有基本保障措施，基本满足采购需求的，得</w:t>
            </w:r>
            <w:r>
              <w:rPr>
                <w:rFonts w:hint="eastAsia" w:ascii="仿宋" w:hAnsi="仿宋" w:eastAsia="仿宋" w:cs="仿宋"/>
                <w:i w:val="0"/>
                <w:iCs w:val="0"/>
                <w:color w:val="000000"/>
                <w:sz w:val="28"/>
                <w:szCs w:val="28"/>
                <w:u w:val="none"/>
                <w:lang w:val="en-US" w:eastAsia="zh-CN"/>
              </w:rPr>
              <w:t>5</w:t>
            </w:r>
            <w:r>
              <w:rPr>
                <w:rFonts w:hint="eastAsia" w:ascii="仿宋" w:hAnsi="仿宋" w:eastAsia="仿宋" w:cs="仿宋"/>
                <w:i w:val="0"/>
                <w:iCs w:val="0"/>
                <w:color w:val="000000"/>
                <w:sz w:val="28"/>
                <w:szCs w:val="28"/>
                <w:u w:val="none"/>
              </w:rPr>
              <w:t>分；</w:t>
            </w:r>
          </w:p>
          <w:p w14:paraId="0ACA16F8">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3.投标人针对本项目有简单的人员配置规划，对人员配置有基础安排，部分满足采购需求的，得</w:t>
            </w:r>
            <w:r>
              <w:rPr>
                <w:rFonts w:hint="eastAsia" w:ascii="仿宋" w:hAnsi="仿宋" w:eastAsia="仿宋" w:cs="仿宋"/>
                <w:i w:val="0"/>
                <w:iCs w:val="0"/>
                <w:color w:val="000000"/>
                <w:sz w:val="28"/>
                <w:szCs w:val="28"/>
                <w:u w:val="none"/>
                <w:lang w:val="en-US" w:eastAsia="zh-CN"/>
              </w:rPr>
              <w:t>3</w:t>
            </w:r>
            <w:r>
              <w:rPr>
                <w:rFonts w:hint="eastAsia" w:ascii="仿宋" w:hAnsi="仿宋" w:eastAsia="仿宋" w:cs="仿宋"/>
                <w:i w:val="0"/>
                <w:iCs w:val="0"/>
                <w:color w:val="000000"/>
                <w:sz w:val="28"/>
                <w:szCs w:val="28"/>
                <w:u w:val="none"/>
              </w:rPr>
              <w:t>分；</w:t>
            </w:r>
          </w:p>
          <w:p w14:paraId="30E37B22">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4.不提供的不得分。</w:t>
            </w:r>
          </w:p>
        </w:tc>
        <w:tc>
          <w:tcPr>
            <w:tcW w:w="2412" w:type="dxa"/>
            <w:shd w:val="clear" w:color="auto" w:fill="auto"/>
            <w:noWrap w:val="0"/>
            <w:tcMar>
              <w:top w:w="-1" w:type="dxa"/>
              <w:left w:w="-1" w:type="dxa"/>
              <w:bottom w:w="-1" w:type="dxa"/>
              <w:right w:w="-1" w:type="dxa"/>
            </w:tcMar>
            <w:vAlign w:val="center"/>
          </w:tcPr>
          <w:p w14:paraId="720B02AC">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提供加盖公章的组织架构图、人员配置规划方案、人员保障承诺函。</w:t>
            </w:r>
          </w:p>
        </w:tc>
      </w:tr>
      <w:tr w14:paraId="67CB9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4" w:hRule="atLeast"/>
          <w:jc w:val="center"/>
        </w:trPr>
        <w:tc>
          <w:tcPr>
            <w:tcW w:w="2208" w:type="dxa"/>
            <w:shd w:val="clear" w:color="auto" w:fill="auto"/>
            <w:noWrap w:val="0"/>
            <w:tcMar>
              <w:top w:w="-1" w:type="dxa"/>
              <w:left w:w="-1" w:type="dxa"/>
              <w:bottom w:w="-1" w:type="dxa"/>
              <w:right w:w="-1" w:type="dxa"/>
            </w:tcMar>
            <w:vAlign w:val="center"/>
          </w:tcPr>
          <w:p w14:paraId="408E7F74">
            <w:pPr>
              <w:keepNext w:val="0"/>
              <w:keepLines w:val="0"/>
              <w:widowControl/>
              <w:suppressLineNumbers w:val="0"/>
              <w:snapToGrid w:val="0"/>
              <w:spacing w:before="0" w:beforeAutospacing="0" w:after="0" w:afterAutospacing="0" w:line="300" w:lineRule="exact"/>
              <w:ind w:left="0" w:right="0" w:firstLine="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7.应急预案 (4分)</w:t>
            </w:r>
          </w:p>
        </w:tc>
        <w:tc>
          <w:tcPr>
            <w:tcW w:w="4440" w:type="dxa"/>
            <w:shd w:val="clear" w:color="auto" w:fill="auto"/>
            <w:noWrap w:val="0"/>
            <w:tcMar>
              <w:top w:w="-1" w:type="dxa"/>
              <w:left w:w="-1" w:type="dxa"/>
              <w:bottom w:w="-1" w:type="dxa"/>
              <w:right w:w="-1" w:type="dxa"/>
            </w:tcMar>
            <w:vAlign w:val="center"/>
          </w:tcPr>
          <w:p w14:paraId="7A81D61C">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根据投标人针对本项目病区照护服务特点所制定的应急突发事件预案及配套保障措施（包括但不限于患者跌倒、突发疾病、</w:t>
            </w:r>
            <w:r>
              <w:rPr>
                <w:rFonts w:hint="eastAsia" w:ascii="仿宋" w:hAnsi="仿宋" w:eastAsia="仿宋" w:cs="仿宋"/>
                <w:i w:val="0"/>
                <w:iCs w:val="0"/>
                <w:color w:val="000000"/>
                <w:sz w:val="28"/>
                <w:szCs w:val="28"/>
                <w:u w:val="none"/>
                <w:lang w:eastAsia="zh-CN"/>
              </w:rPr>
              <w:t>医疗</w:t>
            </w:r>
            <w:r>
              <w:rPr>
                <w:rFonts w:hint="eastAsia" w:ascii="仿宋" w:hAnsi="仿宋" w:eastAsia="仿宋" w:cs="仿宋"/>
                <w:i w:val="0"/>
                <w:iCs w:val="0"/>
                <w:color w:val="000000"/>
                <w:sz w:val="28"/>
                <w:szCs w:val="28"/>
                <w:u w:val="none"/>
              </w:rPr>
              <w:t>护理员临时缺岗、医患纠纷、院内感染处置、人员补位、事后复盘整改机制）等内容进行评审：</w:t>
            </w:r>
          </w:p>
          <w:p w14:paraId="536D993D">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1.投标人针对本项目有明确具体的应急预案，对各类突发场景有针对性处置措施和保障手段，优于或完全满足采购需求的，得</w:t>
            </w:r>
            <w:r>
              <w:rPr>
                <w:rFonts w:hint="eastAsia" w:ascii="仿宋" w:hAnsi="仿宋" w:eastAsia="仿宋" w:cs="仿宋"/>
                <w:i w:val="0"/>
                <w:iCs w:val="0"/>
                <w:color w:val="000000"/>
                <w:sz w:val="28"/>
                <w:szCs w:val="28"/>
                <w:u w:val="none"/>
                <w:lang w:val="en-US" w:eastAsia="zh-CN"/>
              </w:rPr>
              <w:t>4</w:t>
            </w:r>
            <w:r>
              <w:rPr>
                <w:rFonts w:hint="eastAsia" w:ascii="仿宋" w:hAnsi="仿宋" w:eastAsia="仿宋" w:cs="仿宋"/>
                <w:i w:val="0"/>
                <w:iCs w:val="0"/>
                <w:color w:val="000000"/>
                <w:sz w:val="28"/>
                <w:szCs w:val="28"/>
                <w:u w:val="none"/>
              </w:rPr>
              <w:t>分；</w:t>
            </w:r>
          </w:p>
          <w:p w14:paraId="41FA0E8E">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2.投标人针对本项目有明确的应急预案，对主要突发场景有基本处置流程和保障措施，基本满足采购需求的，得</w:t>
            </w:r>
            <w:r>
              <w:rPr>
                <w:rFonts w:hint="eastAsia" w:ascii="仿宋" w:hAnsi="仿宋" w:eastAsia="仿宋" w:cs="仿宋"/>
                <w:i w:val="0"/>
                <w:iCs w:val="0"/>
                <w:color w:val="000000"/>
                <w:sz w:val="28"/>
                <w:szCs w:val="28"/>
                <w:u w:val="none"/>
                <w:lang w:val="en-US" w:eastAsia="zh-CN"/>
              </w:rPr>
              <w:t>2</w:t>
            </w:r>
            <w:r>
              <w:rPr>
                <w:rFonts w:hint="eastAsia" w:ascii="仿宋" w:hAnsi="仿宋" w:eastAsia="仿宋" w:cs="仿宋"/>
                <w:i w:val="0"/>
                <w:iCs w:val="0"/>
                <w:color w:val="000000"/>
                <w:sz w:val="28"/>
                <w:szCs w:val="28"/>
                <w:u w:val="none"/>
              </w:rPr>
              <w:t>分；</w:t>
            </w:r>
          </w:p>
          <w:p w14:paraId="4BA348B2">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3.投标人针对本项目有简单的应急预案，对突发场景有基础安排，部分满足采购需求的，得</w:t>
            </w:r>
            <w:r>
              <w:rPr>
                <w:rFonts w:hint="eastAsia" w:ascii="仿宋" w:hAnsi="仿宋" w:eastAsia="仿宋" w:cs="仿宋"/>
                <w:i w:val="0"/>
                <w:iCs w:val="0"/>
                <w:color w:val="000000"/>
                <w:sz w:val="28"/>
                <w:szCs w:val="28"/>
                <w:u w:val="none"/>
                <w:lang w:val="en-US" w:eastAsia="zh-CN"/>
              </w:rPr>
              <w:t>1</w:t>
            </w:r>
            <w:r>
              <w:rPr>
                <w:rFonts w:hint="eastAsia" w:ascii="仿宋" w:hAnsi="仿宋" w:eastAsia="仿宋" w:cs="仿宋"/>
                <w:i w:val="0"/>
                <w:iCs w:val="0"/>
                <w:color w:val="000000"/>
                <w:sz w:val="28"/>
                <w:szCs w:val="28"/>
                <w:u w:val="none"/>
              </w:rPr>
              <w:t>分；</w:t>
            </w:r>
          </w:p>
          <w:p w14:paraId="652CFD38">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4.不提供的不得分。</w:t>
            </w:r>
          </w:p>
        </w:tc>
        <w:tc>
          <w:tcPr>
            <w:tcW w:w="2412" w:type="dxa"/>
            <w:shd w:val="clear" w:color="auto" w:fill="auto"/>
            <w:noWrap w:val="0"/>
            <w:tcMar>
              <w:top w:w="-1" w:type="dxa"/>
              <w:left w:w="-1" w:type="dxa"/>
              <w:bottom w:w="-1" w:type="dxa"/>
              <w:right w:w="-1" w:type="dxa"/>
            </w:tcMar>
            <w:vAlign w:val="center"/>
          </w:tcPr>
          <w:p w14:paraId="34FE6329">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提供加盖公章全套应急预案、年度应急演练计划，无文件本项不得分。</w:t>
            </w:r>
          </w:p>
          <w:p w14:paraId="6D4AFCA1">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000000"/>
                <w:sz w:val="28"/>
                <w:szCs w:val="28"/>
                <w:u w:val="none"/>
              </w:rPr>
            </w:pPr>
          </w:p>
          <w:p w14:paraId="2205449D">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000000"/>
                <w:sz w:val="28"/>
                <w:szCs w:val="28"/>
                <w:u w:val="none"/>
              </w:rPr>
            </w:pPr>
          </w:p>
          <w:p w14:paraId="134F3296">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000000"/>
                <w:sz w:val="28"/>
                <w:szCs w:val="28"/>
                <w:u w:val="none"/>
              </w:rPr>
            </w:pPr>
          </w:p>
          <w:p w14:paraId="779E1E22">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000000"/>
                <w:sz w:val="28"/>
                <w:szCs w:val="28"/>
                <w:u w:val="none"/>
              </w:rPr>
            </w:pPr>
          </w:p>
          <w:p w14:paraId="0D653313">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000000"/>
                <w:sz w:val="28"/>
                <w:szCs w:val="28"/>
                <w:u w:val="none"/>
              </w:rPr>
            </w:pPr>
          </w:p>
          <w:p w14:paraId="4B7A3123">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000000"/>
                <w:sz w:val="28"/>
                <w:szCs w:val="28"/>
                <w:u w:val="none"/>
              </w:rPr>
            </w:pPr>
          </w:p>
          <w:p w14:paraId="035AB1F6">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000000"/>
                <w:sz w:val="28"/>
                <w:szCs w:val="28"/>
                <w:u w:val="none"/>
              </w:rPr>
            </w:pPr>
          </w:p>
          <w:p w14:paraId="145852C1">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000000"/>
                <w:sz w:val="28"/>
                <w:szCs w:val="28"/>
                <w:u w:val="none"/>
              </w:rPr>
            </w:pPr>
          </w:p>
          <w:p w14:paraId="4A0BD7DA">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000000"/>
                <w:sz w:val="28"/>
                <w:szCs w:val="28"/>
                <w:u w:val="none"/>
              </w:rPr>
            </w:pPr>
          </w:p>
        </w:tc>
      </w:tr>
      <w:tr w14:paraId="1B04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2208" w:type="dxa"/>
            <w:shd w:val="clear" w:color="auto" w:fill="auto"/>
            <w:noWrap w:val="0"/>
            <w:tcMar>
              <w:top w:w="-1" w:type="dxa"/>
              <w:left w:w="-1" w:type="dxa"/>
              <w:bottom w:w="-1" w:type="dxa"/>
              <w:right w:w="-1" w:type="dxa"/>
            </w:tcMar>
            <w:vAlign w:val="center"/>
          </w:tcPr>
          <w:p w14:paraId="5731A688">
            <w:pPr>
              <w:keepNext w:val="0"/>
              <w:keepLines w:val="0"/>
              <w:widowControl/>
              <w:suppressLineNumbers w:val="0"/>
              <w:snapToGrid w:val="0"/>
              <w:spacing w:before="0" w:beforeAutospacing="0" w:after="0" w:afterAutospacing="0" w:line="300" w:lineRule="exact"/>
              <w:ind w:left="0" w:right="0" w:firstLine="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8.</w:t>
            </w:r>
            <w:r>
              <w:rPr>
                <w:rFonts w:hint="eastAsia" w:ascii="仿宋" w:hAnsi="仿宋" w:eastAsia="仿宋" w:cs="仿宋"/>
                <w:color w:val="000000"/>
                <w:kern w:val="0"/>
                <w:sz w:val="28"/>
                <w:szCs w:val="28"/>
                <w:highlight w:val="none"/>
                <w:u w:val="none"/>
                <w:lang w:bidi="ar"/>
              </w:rPr>
              <w:t>信息化管理系统建设、运维及医院平台对接方案</w:t>
            </w:r>
            <w:r>
              <w:rPr>
                <w:rFonts w:hint="eastAsia" w:ascii="仿宋" w:hAnsi="仿宋" w:eastAsia="仿宋" w:cs="仿宋"/>
                <w:color w:val="000000"/>
                <w:kern w:val="0"/>
                <w:sz w:val="28"/>
                <w:szCs w:val="28"/>
                <w:highlight w:val="none"/>
                <w:u w:val="none"/>
                <w:lang w:eastAsia="zh-CN" w:bidi="ar"/>
              </w:rPr>
              <w:t>（</w:t>
            </w:r>
            <w:r>
              <w:rPr>
                <w:rFonts w:hint="eastAsia" w:ascii="仿宋" w:hAnsi="仿宋" w:eastAsia="仿宋" w:cs="仿宋"/>
                <w:color w:val="000000"/>
                <w:kern w:val="0"/>
                <w:sz w:val="28"/>
                <w:szCs w:val="28"/>
                <w:highlight w:val="none"/>
                <w:u w:val="none"/>
                <w:lang w:val="en-US" w:eastAsia="zh-CN" w:bidi="ar"/>
              </w:rPr>
              <w:t>12分</w:t>
            </w:r>
            <w:r>
              <w:rPr>
                <w:rFonts w:hint="eastAsia" w:ascii="仿宋" w:hAnsi="仿宋" w:eastAsia="仿宋" w:cs="仿宋"/>
                <w:color w:val="000000"/>
                <w:kern w:val="0"/>
                <w:sz w:val="28"/>
                <w:szCs w:val="28"/>
                <w:highlight w:val="none"/>
                <w:u w:val="none"/>
                <w:lang w:eastAsia="zh-CN" w:bidi="ar"/>
              </w:rPr>
              <w:t>）</w:t>
            </w:r>
          </w:p>
        </w:tc>
        <w:tc>
          <w:tcPr>
            <w:tcW w:w="4440" w:type="dxa"/>
            <w:shd w:val="clear" w:color="auto" w:fill="auto"/>
            <w:noWrap w:val="0"/>
            <w:tcMar>
              <w:top w:w="-1" w:type="dxa"/>
              <w:left w:w="-1" w:type="dxa"/>
              <w:bottom w:w="-1" w:type="dxa"/>
              <w:right w:w="-1" w:type="dxa"/>
            </w:tcMar>
            <w:vAlign w:val="center"/>
          </w:tcPr>
          <w:p w14:paraId="74062519">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根据投标人针对本项目所提供的信息化管理系统建设、运维、院内免陪照护管理平台对接全套方案</w:t>
            </w:r>
            <w:r>
              <w:rPr>
                <w:rFonts w:hint="eastAsia" w:ascii="仿宋" w:hAnsi="仿宋" w:eastAsia="仿宋" w:cs="仿宋"/>
                <w:i w:val="0"/>
                <w:iCs w:val="0"/>
                <w:color w:val="000000"/>
                <w:sz w:val="28"/>
                <w:szCs w:val="28"/>
                <w:u w:val="none"/>
                <w:lang w:eastAsia="zh-CN"/>
              </w:rPr>
              <w:t>进行</w:t>
            </w:r>
            <w:r>
              <w:rPr>
                <w:rFonts w:hint="eastAsia" w:ascii="仿宋" w:hAnsi="仿宋" w:eastAsia="仿宋" w:cs="仿宋"/>
                <w:i w:val="0"/>
                <w:iCs w:val="0"/>
                <w:color w:val="000000"/>
                <w:sz w:val="28"/>
                <w:szCs w:val="28"/>
                <w:u w:val="none"/>
              </w:rPr>
              <w:t>评审：</w:t>
            </w:r>
          </w:p>
          <w:p w14:paraId="49362118">
            <w:pPr>
              <w:keepNext w:val="0"/>
              <w:keepLines w:val="0"/>
              <w:widowControl/>
              <w:numPr>
                <w:ilvl w:val="0"/>
                <w:numId w:val="0"/>
              </w:numPr>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auto"/>
                <w:kern w:val="2"/>
                <w:sz w:val="28"/>
                <w:szCs w:val="28"/>
                <w:lang w:val="en-US" w:eastAsia="zh-CN" w:bidi="ar-SA"/>
              </w:rPr>
            </w:pPr>
            <w:r>
              <w:rPr>
                <w:rFonts w:hint="eastAsia" w:ascii="仿宋" w:hAnsi="仿宋" w:eastAsia="仿宋" w:cs="仿宋"/>
                <w:i w:val="0"/>
                <w:iCs w:val="0"/>
                <w:color w:val="000000"/>
                <w:kern w:val="2"/>
                <w:sz w:val="28"/>
                <w:szCs w:val="28"/>
                <w:lang w:val="en-US" w:eastAsia="zh-CN" w:bidi="ar-SA"/>
              </w:rPr>
              <w:t>1.系统具备人员备案、医疗护理员在岗管控、智能排班、线上订单派单、多类型陪护计费、订单台账、营收工时投诉多维报表、经营数据统计、医疗护理员电子档案、资质健康证到期预警、病区备班应急调度、不良事件线上上报、线上培训考核、家属端查询评价缴费等全部功</w:t>
            </w:r>
            <w:r>
              <w:rPr>
                <w:rFonts w:hint="eastAsia" w:ascii="仿宋" w:hAnsi="仿宋" w:eastAsia="仿宋" w:cs="仿宋"/>
                <w:i w:val="0"/>
                <w:iCs w:val="0"/>
                <w:color w:val="auto"/>
                <w:kern w:val="2"/>
                <w:sz w:val="28"/>
                <w:szCs w:val="28"/>
                <w:lang w:val="en-US" w:eastAsia="zh-CN" w:bidi="ar-SA"/>
              </w:rPr>
              <w:t xml:space="preserve">能，配套完善运维保障机制，方案详实，优于或完全满足采购需求，得12分； </w:t>
            </w:r>
          </w:p>
          <w:p w14:paraId="1B289F22">
            <w:pPr>
              <w:keepNext w:val="0"/>
              <w:keepLines w:val="0"/>
              <w:widowControl/>
              <w:numPr>
                <w:ilvl w:val="-1"/>
                <w:numId w:val="0"/>
              </w:numPr>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auto"/>
                <w:kern w:val="2"/>
                <w:sz w:val="28"/>
                <w:szCs w:val="28"/>
                <w:lang w:val="en-US" w:eastAsia="zh-CN" w:bidi="ar-SA"/>
              </w:rPr>
            </w:pPr>
            <w:r>
              <w:rPr>
                <w:rFonts w:hint="eastAsia" w:ascii="仿宋" w:hAnsi="仿宋" w:eastAsia="仿宋" w:cs="仿宋"/>
                <w:i w:val="0"/>
                <w:iCs w:val="0"/>
                <w:color w:val="auto"/>
                <w:kern w:val="2"/>
                <w:sz w:val="28"/>
                <w:szCs w:val="28"/>
                <w:lang w:val="en-US" w:eastAsia="zh-CN" w:bidi="ar-SA"/>
              </w:rPr>
              <w:t>2.系统具备人员备案、智能排班、线上订单派单</w:t>
            </w:r>
            <w:r>
              <w:rPr>
                <w:rFonts w:hint="eastAsia" w:ascii="仿宋" w:hAnsi="仿宋" w:eastAsia="仿宋" w:cs="仿宋"/>
                <w:i w:val="0"/>
                <w:iCs w:val="0"/>
                <w:color w:val="000000"/>
                <w:kern w:val="2"/>
                <w:sz w:val="28"/>
                <w:szCs w:val="28"/>
                <w:lang w:val="en-US" w:eastAsia="zh-CN" w:bidi="ar-SA"/>
              </w:rPr>
              <w:t>、订单台账、营收及工时数据统计、医疗护理员电子档案、不良事件线上上报核心功能，仅资质预警、家属端口、备班调度等少量辅助功能缺失，基本满足采购需求</w:t>
            </w:r>
            <w:r>
              <w:rPr>
                <w:rFonts w:hint="eastAsia" w:ascii="仿宋" w:hAnsi="仿宋" w:eastAsia="仿宋" w:cs="仿宋"/>
                <w:i w:val="0"/>
                <w:iCs w:val="0"/>
                <w:color w:val="auto"/>
                <w:kern w:val="2"/>
                <w:sz w:val="28"/>
                <w:szCs w:val="28"/>
                <w:lang w:val="en-US" w:eastAsia="zh-CN" w:bidi="ar-SA"/>
              </w:rPr>
              <w:t>，得8分；</w:t>
            </w:r>
          </w:p>
          <w:p w14:paraId="751A936B">
            <w:pPr>
              <w:keepNext w:val="0"/>
              <w:keepLines w:val="0"/>
              <w:widowControl/>
              <w:numPr>
                <w:ilvl w:val="-1"/>
                <w:numId w:val="0"/>
              </w:numPr>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auto"/>
                <w:kern w:val="2"/>
                <w:sz w:val="28"/>
                <w:szCs w:val="28"/>
                <w:lang w:val="en-US" w:eastAsia="zh-CN" w:bidi="ar-SA"/>
              </w:rPr>
            </w:pPr>
            <w:r>
              <w:rPr>
                <w:rFonts w:hint="eastAsia" w:ascii="仿宋" w:hAnsi="仿宋" w:eastAsia="仿宋" w:cs="仿宋"/>
                <w:i w:val="0"/>
                <w:iCs w:val="0"/>
                <w:color w:val="auto"/>
                <w:kern w:val="2"/>
                <w:sz w:val="28"/>
                <w:szCs w:val="28"/>
                <w:lang w:val="en-US" w:eastAsia="zh-CN" w:bidi="ar-SA"/>
              </w:rPr>
              <w:t xml:space="preserve">3.仅拥有简单接单、排班功能，缺少订单管理、数据统计、业务报表等核心模块，仅部分满足采购需求，得4分； </w:t>
            </w:r>
          </w:p>
          <w:p w14:paraId="77F26237">
            <w:pPr>
              <w:keepNext w:val="0"/>
              <w:keepLines w:val="0"/>
              <w:widowControl/>
              <w:numPr>
                <w:ilvl w:val="-1"/>
                <w:numId w:val="0"/>
              </w:numPr>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auto"/>
                <w:kern w:val="2"/>
                <w:sz w:val="28"/>
                <w:szCs w:val="28"/>
                <w:lang w:val="en-US" w:eastAsia="zh-CN" w:bidi="ar-SA"/>
              </w:rPr>
              <w:t>4.未提供信息</w:t>
            </w:r>
            <w:r>
              <w:rPr>
                <w:rFonts w:hint="eastAsia" w:ascii="仿宋" w:hAnsi="仿宋" w:eastAsia="仿宋" w:cs="仿宋"/>
                <w:i w:val="0"/>
                <w:iCs w:val="0"/>
                <w:color w:val="000000"/>
                <w:kern w:val="2"/>
                <w:sz w:val="28"/>
                <w:szCs w:val="28"/>
                <w:lang w:val="en-US" w:eastAsia="zh-CN" w:bidi="ar-SA"/>
              </w:rPr>
              <w:t>化管理系统方案，或系统无订单、报表、统计等基础业务功能，不得分。</w:t>
            </w:r>
          </w:p>
        </w:tc>
        <w:tc>
          <w:tcPr>
            <w:tcW w:w="2412" w:type="dxa"/>
            <w:shd w:val="clear" w:color="auto" w:fill="auto"/>
            <w:noWrap w:val="0"/>
            <w:tcMar>
              <w:top w:w="-1" w:type="dxa"/>
              <w:left w:w="-1" w:type="dxa"/>
              <w:bottom w:w="-1" w:type="dxa"/>
              <w:right w:w="-1" w:type="dxa"/>
            </w:tcMar>
            <w:vAlign w:val="center"/>
          </w:tcPr>
          <w:p w14:paraId="5C02194B">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提供加盖公章的信息化管理整体方案、系统功能截图、运维保障承诺书、同类医院信息化落地佐证材料。</w:t>
            </w:r>
          </w:p>
        </w:tc>
      </w:tr>
      <w:tr w14:paraId="299DD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9060" w:type="dxa"/>
            <w:gridSpan w:val="3"/>
            <w:shd w:val="clear" w:color="auto" w:fill="auto"/>
            <w:noWrap w:val="0"/>
            <w:tcMar>
              <w:top w:w="-1" w:type="dxa"/>
              <w:left w:w="-1" w:type="dxa"/>
              <w:bottom w:w="-1" w:type="dxa"/>
              <w:right w:w="-1" w:type="dxa"/>
            </w:tcMar>
            <w:vAlign w:val="center"/>
          </w:tcPr>
          <w:p w14:paraId="7E1E32D1">
            <w:pPr>
              <w:keepNext w:val="0"/>
              <w:keepLines w:val="0"/>
              <w:widowControl/>
              <w:suppressLineNumbers w:val="0"/>
              <w:snapToGrid w:val="0"/>
              <w:spacing w:before="0" w:beforeAutospacing="0" w:after="0" w:afterAutospacing="0" w:line="300" w:lineRule="exact"/>
              <w:ind w:left="0" w:leftChars="0" w:right="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商务部分 (8.0分)</w:t>
            </w:r>
          </w:p>
        </w:tc>
      </w:tr>
      <w:tr w14:paraId="3672C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08" w:type="dxa"/>
            <w:shd w:val="clear" w:color="auto" w:fill="auto"/>
            <w:noWrap w:val="0"/>
            <w:tcMar>
              <w:top w:w="-1" w:type="dxa"/>
              <w:left w:w="-1" w:type="dxa"/>
              <w:bottom w:w="-1" w:type="dxa"/>
              <w:right w:w="-1" w:type="dxa"/>
            </w:tcMar>
            <w:vAlign w:val="center"/>
          </w:tcPr>
          <w:p w14:paraId="3F252D0B">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b w:val="0"/>
                <w:bCs w:val="0"/>
                <w:i w:val="0"/>
                <w:iCs w:val="0"/>
                <w:color w:val="000000"/>
                <w:kern w:val="0"/>
                <w:sz w:val="28"/>
                <w:szCs w:val="28"/>
                <w:u w:val="none"/>
                <w:lang w:val="en-US" w:eastAsia="zh-CN" w:bidi="ar"/>
              </w:rPr>
            </w:pPr>
            <w:r>
              <w:rPr>
                <w:rFonts w:hint="eastAsia" w:ascii="仿宋" w:hAnsi="仿宋" w:eastAsia="仿宋" w:cs="仿宋"/>
                <w:b w:val="0"/>
                <w:bCs w:val="0"/>
                <w:color w:val="000000"/>
                <w:kern w:val="0"/>
                <w:sz w:val="28"/>
                <w:szCs w:val="28"/>
                <w:u w:val="none"/>
                <w:lang w:bidi="ar"/>
              </w:rPr>
              <w:t>同类项目经验（</w:t>
            </w:r>
            <w:r>
              <w:rPr>
                <w:rFonts w:hint="eastAsia" w:ascii="仿宋" w:hAnsi="仿宋" w:eastAsia="仿宋" w:cs="仿宋"/>
                <w:b w:val="0"/>
                <w:bCs w:val="0"/>
                <w:color w:val="000000"/>
                <w:kern w:val="0"/>
                <w:sz w:val="28"/>
                <w:szCs w:val="28"/>
                <w:u w:val="none"/>
                <w:lang w:val="en-US" w:eastAsia="zh-CN" w:bidi="ar"/>
              </w:rPr>
              <w:t>8</w:t>
            </w:r>
            <w:r>
              <w:rPr>
                <w:rFonts w:hint="eastAsia" w:ascii="仿宋" w:hAnsi="仿宋" w:eastAsia="仿宋" w:cs="仿宋"/>
                <w:b w:val="0"/>
                <w:bCs w:val="0"/>
                <w:color w:val="000000"/>
                <w:kern w:val="0"/>
                <w:sz w:val="28"/>
                <w:szCs w:val="28"/>
                <w:u w:val="none"/>
                <w:lang w:bidi="ar"/>
              </w:rPr>
              <w:t>.0分）</w:t>
            </w:r>
          </w:p>
        </w:tc>
        <w:tc>
          <w:tcPr>
            <w:tcW w:w="4440" w:type="dxa"/>
            <w:shd w:val="clear" w:color="auto" w:fill="auto"/>
            <w:noWrap w:val="0"/>
            <w:tcMar>
              <w:top w:w="-1" w:type="dxa"/>
              <w:left w:w="-1" w:type="dxa"/>
              <w:bottom w:w="-1" w:type="dxa"/>
              <w:right w:w="-1" w:type="dxa"/>
            </w:tcMar>
            <w:vAlign w:val="center"/>
          </w:tcPr>
          <w:p w14:paraId="22CA10B6">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b w:val="0"/>
                <w:bCs w:val="0"/>
                <w:i w:val="0"/>
                <w:iCs w:val="0"/>
                <w:color w:val="000000"/>
                <w:kern w:val="0"/>
                <w:sz w:val="28"/>
                <w:szCs w:val="28"/>
                <w:u w:val="none"/>
                <w:lang w:val="en-US" w:eastAsia="zh-CN" w:bidi="ar"/>
              </w:rPr>
            </w:pPr>
            <w:r>
              <w:rPr>
                <w:rFonts w:hint="eastAsia" w:ascii="仿宋" w:hAnsi="仿宋" w:eastAsia="仿宋" w:cs="仿宋"/>
                <w:b w:val="0"/>
                <w:bCs w:val="0"/>
                <w:color w:val="000000"/>
                <w:kern w:val="0"/>
                <w:sz w:val="28"/>
                <w:szCs w:val="28"/>
                <w:u w:val="none"/>
                <w:lang w:bidi="ar"/>
              </w:rPr>
              <w:t>2022年1月1日至今投标人具有同类项目实施业绩，每提供1个业绩，得2分，最高得</w:t>
            </w:r>
            <w:r>
              <w:rPr>
                <w:rFonts w:hint="eastAsia" w:ascii="仿宋" w:hAnsi="仿宋" w:eastAsia="仿宋" w:cs="仿宋"/>
                <w:b w:val="0"/>
                <w:bCs w:val="0"/>
                <w:color w:val="000000"/>
                <w:kern w:val="0"/>
                <w:sz w:val="28"/>
                <w:szCs w:val="28"/>
                <w:u w:val="none"/>
                <w:lang w:val="en-US" w:eastAsia="zh-CN" w:bidi="ar"/>
              </w:rPr>
              <w:t>8</w:t>
            </w:r>
            <w:r>
              <w:rPr>
                <w:rFonts w:hint="eastAsia" w:ascii="仿宋" w:hAnsi="仿宋" w:eastAsia="仿宋" w:cs="仿宋"/>
                <w:b w:val="0"/>
                <w:bCs w:val="0"/>
                <w:color w:val="000000"/>
                <w:kern w:val="0"/>
                <w:sz w:val="28"/>
                <w:szCs w:val="28"/>
                <w:u w:val="none"/>
                <w:lang w:bidi="ar"/>
              </w:rPr>
              <w:t xml:space="preserve">分 </w:t>
            </w:r>
            <w:r>
              <w:rPr>
                <w:rFonts w:hint="eastAsia" w:ascii="仿宋" w:hAnsi="仿宋" w:eastAsia="仿宋" w:cs="仿宋"/>
                <w:b w:val="0"/>
                <w:bCs w:val="0"/>
                <w:color w:val="000000"/>
                <w:kern w:val="0"/>
                <w:sz w:val="28"/>
                <w:szCs w:val="28"/>
                <w:u w:val="none"/>
                <w:lang w:eastAsia="zh-CN" w:bidi="ar"/>
              </w:rPr>
              <w:t>。</w:t>
            </w:r>
          </w:p>
        </w:tc>
        <w:tc>
          <w:tcPr>
            <w:tcW w:w="2412" w:type="dxa"/>
            <w:shd w:val="clear" w:color="auto" w:fill="auto"/>
            <w:noWrap w:val="0"/>
            <w:tcMar>
              <w:top w:w="-1" w:type="dxa"/>
              <w:left w:w="-1" w:type="dxa"/>
              <w:bottom w:w="-1" w:type="dxa"/>
              <w:right w:w="-1" w:type="dxa"/>
            </w:tcMar>
            <w:vAlign w:val="center"/>
          </w:tcPr>
          <w:p w14:paraId="63A3CF74">
            <w:pPr>
              <w:keepNext w:val="0"/>
              <w:keepLines w:val="0"/>
              <w:widowControl/>
              <w:suppressLineNumbers w:val="0"/>
              <w:snapToGrid w:val="0"/>
              <w:spacing w:before="0" w:beforeAutospacing="0" w:after="0" w:afterAutospacing="0" w:line="300" w:lineRule="exact"/>
              <w:ind w:left="0" w:leftChars="0" w:right="0" w:firstLine="0" w:firstLineChars="0"/>
              <w:jc w:val="left"/>
              <w:textAlignment w:val="center"/>
              <w:rPr>
                <w:rFonts w:hint="eastAsia" w:ascii="仿宋" w:hAnsi="仿宋" w:eastAsia="仿宋" w:cs="仿宋"/>
                <w:b w:val="0"/>
                <w:bCs w:val="0"/>
                <w:i w:val="0"/>
                <w:iCs w:val="0"/>
                <w:color w:val="000000"/>
                <w:kern w:val="0"/>
                <w:sz w:val="28"/>
                <w:szCs w:val="28"/>
                <w:u w:val="none"/>
                <w:lang w:val="en-US" w:eastAsia="zh-CN" w:bidi="ar"/>
              </w:rPr>
            </w:pPr>
            <w:r>
              <w:rPr>
                <w:rFonts w:hint="eastAsia" w:ascii="仿宋" w:hAnsi="仿宋" w:eastAsia="仿宋" w:cs="仿宋"/>
                <w:b w:val="0"/>
                <w:bCs w:val="0"/>
                <w:color w:val="000000"/>
                <w:kern w:val="0"/>
                <w:sz w:val="28"/>
                <w:szCs w:val="28"/>
                <w:u w:val="none"/>
                <w:lang w:bidi="ar"/>
              </w:rPr>
              <w:t>提供合同复印件，以签订合同的时间为准，不提供不得分</w:t>
            </w:r>
            <w:r>
              <w:rPr>
                <w:rFonts w:hint="eastAsia" w:ascii="仿宋" w:hAnsi="仿宋" w:eastAsia="仿宋" w:cs="仿宋"/>
                <w:b w:val="0"/>
                <w:bCs w:val="0"/>
                <w:color w:val="000000"/>
                <w:kern w:val="0"/>
                <w:sz w:val="28"/>
                <w:szCs w:val="28"/>
                <w:u w:val="none"/>
                <w:lang w:eastAsia="zh-CN" w:bidi="ar"/>
              </w:rPr>
              <w:t>。</w:t>
            </w:r>
          </w:p>
        </w:tc>
      </w:tr>
      <w:tr w14:paraId="66F3B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9060" w:type="dxa"/>
            <w:gridSpan w:val="3"/>
            <w:shd w:val="clear" w:color="auto" w:fill="auto"/>
            <w:noWrap w:val="0"/>
            <w:tcMar>
              <w:top w:w="-1" w:type="dxa"/>
              <w:left w:w="-1" w:type="dxa"/>
              <w:bottom w:w="-1" w:type="dxa"/>
              <w:right w:w="-1" w:type="dxa"/>
            </w:tcMar>
            <w:vAlign w:val="center"/>
          </w:tcPr>
          <w:p w14:paraId="5F173910">
            <w:pPr>
              <w:keepNext w:val="0"/>
              <w:keepLines w:val="0"/>
              <w:widowControl/>
              <w:suppressLineNumbers w:val="0"/>
              <w:snapToGrid w:val="0"/>
              <w:spacing w:before="0" w:beforeAutospacing="0" w:after="0" w:afterAutospacing="0" w:line="300" w:lineRule="exact"/>
              <w:ind w:left="0" w:leftChars="0" w:right="0" w:firstLine="0" w:firstLineChars="0"/>
              <w:jc w:val="center"/>
              <w:textAlignment w:val="center"/>
              <w:rPr>
                <w:rFonts w:hint="eastAsia" w:ascii="仿宋" w:hAnsi="仿宋" w:eastAsia="仿宋" w:cs="仿宋"/>
                <w:b/>
                <w:bCs/>
                <w:color w:val="000000"/>
                <w:kern w:val="0"/>
                <w:sz w:val="28"/>
                <w:szCs w:val="28"/>
                <w:u w:val="none"/>
                <w:lang w:bidi="ar"/>
              </w:rPr>
            </w:pPr>
            <w:r>
              <w:rPr>
                <w:rFonts w:hint="eastAsia" w:ascii="仿宋" w:hAnsi="仿宋" w:eastAsia="仿宋" w:cs="仿宋"/>
                <w:b/>
                <w:bCs/>
                <w:i w:val="0"/>
                <w:iCs w:val="0"/>
                <w:color w:val="000000"/>
                <w:kern w:val="0"/>
                <w:sz w:val="28"/>
                <w:szCs w:val="28"/>
                <w:u w:val="none"/>
                <w:lang w:val="en-US" w:eastAsia="zh-CN" w:bidi="ar"/>
              </w:rPr>
              <w:t>价格部分 (16.0分)</w:t>
            </w:r>
          </w:p>
        </w:tc>
      </w:tr>
      <w:tr w14:paraId="325B9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2208" w:type="dxa"/>
            <w:vMerge w:val="restart"/>
            <w:shd w:val="clear" w:color="auto" w:fill="auto"/>
            <w:noWrap w:val="0"/>
            <w:tcMar>
              <w:top w:w="-1" w:type="dxa"/>
              <w:left w:w="-1" w:type="dxa"/>
              <w:bottom w:w="-1" w:type="dxa"/>
              <w:right w:w="-1" w:type="dxa"/>
            </w:tcMar>
            <w:vAlign w:val="center"/>
          </w:tcPr>
          <w:p w14:paraId="00C4A65F">
            <w:pPr>
              <w:keepNext w:val="0"/>
              <w:keepLines w:val="0"/>
              <w:suppressLineNumbers w:val="0"/>
              <w:spacing w:before="0" w:beforeAutospacing="0" w:after="0" w:afterAutospacing="0" w:line="300" w:lineRule="exact"/>
              <w:ind w:left="0" w:right="0" w:firstLine="0" w:firstLineChars="0"/>
              <w:jc w:val="left"/>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价格评分 (16.0分)</w:t>
            </w:r>
          </w:p>
        </w:tc>
        <w:tc>
          <w:tcPr>
            <w:tcW w:w="4440" w:type="dxa"/>
            <w:shd w:val="clear" w:color="auto" w:fill="auto"/>
            <w:noWrap w:val="0"/>
            <w:tcMar>
              <w:top w:w="-1" w:type="dxa"/>
              <w:left w:w="-1" w:type="dxa"/>
              <w:bottom w:w="-1" w:type="dxa"/>
              <w:right w:w="-1" w:type="dxa"/>
            </w:tcMar>
            <w:vAlign w:val="center"/>
          </w:tcPr>
          <w:p w14:paraId="4F6A34D9">
            <w:pPr>
              <w:keepNext w:val="0"/>
              <w:keepLines w:val="0"/>
              <w:suppressLineNumbers w:val="0"/>
              <w:spacing w:before="0" w:beforeAutospacing="0" w:after="0" w:afterAutospacing="0" w:line="300" w:lineRule="exact"/>
              <w:ind w:left="0" w:right="0" w:firstLine="0" w:firstLineChars="0"/>
              <w:jc w:val="left"/>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aps w:val="0"/>
                <w:color w:val="0F1115"/>
                <w:spacing w:val="0"/>
                <w:sz w:val="28"/>
                <w:szCs w:val="28"/>
                <w:shd w:val="clear" w:fill="FFFFFF"/>
              </w:rPr>
              <w:t xml:space="preserve">价格得分 =（ </w:t>
            </w:r>
            <w:r>
              <w:rPr>
                <w:rFonts w:hint="eastAsia" w:ascii="仿宋" w:hAnsi="仿宋" w:eastAsia="仿宋" w:cs="仿宋"/>
                <w:i w:val="0"/>
                <w:iCs w:val="0"/>
                <w:caps w:val="0"/>
                <w:color w:val="0F1115"/>
                <w:spacing w:val="0"/>
                <w:sz w:val="28"/>
                <w:szCs w:val="28"/>
                <w:shd w:val="clear" w:fill="FFFFFF"/>
                <w:lang w:val="en-US" w:eastAsia="zh-CN"/>
              </w:rPr>
              <w:t>投标报价</w:t>
            </w:r>
            <w:r>
              <w:rPr>
                <w:rFonts w:hint="eastAsia" w:ascii="仿宋" w:hAnsi="仿宋" w:eastAsia="仿宋" w:cs="仿宋"/>
                <w:i w:val="0"/>
                <w:iCs w:val="0"/>
                <w:caps w:val="0"/>
                <w:color w:val="0F1115"/>
                <w:spacing w:val="0"/>
                <w:sz w:val="28"/>
                <w:szCs w:val="28"/>
                <w:shd w:val="clear" w:fill="FFFFFF"/>
              </w:rPr>
              <w:t>÷评标基准价 ）× 价格分值</w:t>
            </w:r>
            <w:r>
              <w:rPr>
                <w:rFonts w:hint="eastAsia" w:ascii="仿宋" w:hAnsi="仿宋" w:eastAsia="仿宋" w:cs="仿宋"/>
                <w:i w:val="0"/>
                <w:iCs w:val="0"/>
                <w:caps w:val="0"/>
                <w:color w:val="0F1115"/>
                <w:spacing w:val="0"/>
                <w:sz w:val="28"/>
                <w:szCs w:val="28"/>
                <w:shd w:val="clear" w:fill="FFFFFF"/>
                <w:lang w:eastAsia="zh-CN"/>
              </w:rPr>
              <w:t>；</w:t>
            </w:r>
          </w:p>
        </w:tc>
        <w:tc>
          <w:tcPr>
            <w:tcW w:w="2412" w:type="dxa"/>
            <w:shd w:val="clear" w:color="auto" w:fill="auto"/>
            <w:noWrap w:val="0"/>
            <w:tcMar>
              <w:top w:w="-1" w:type="dxa"/>
              <w:left w:w="-1" w:type="dxa"/>
              <w:bottom w:w="-1" w:type="dxa"/>
              <w:right w:w="-1" w:type="dxa"/>
            </w:tcMar>
            <w:vAlign w:val="center"/>
          </w:tcPr>
          <w:p w14:paraId="18309F9C">
            <w:pPr>
              <w:keepNext w:val="0"/>
              <w:keepLines w:val="0"/>
              <w:numPr>
                <w:ilvl w:val="-1"/>
                <w:numId w:val="0"/>
              </w:numPr>
              <w:suppressLineNumbers w:val="0"/>
              <w:spacing w:before="0" w:beforeAutospacing="0" w:after="0" w:afterAutospacing="0" w:line="300" w:lineRule="exact"/>
              <w:ind w:left="0" w:leftChars="0" w:right="0" w:firstLine="0" w:firstLineChars="0"/>
              <w:jc w:val="left"/>
              <w:rPr>
                <w:rFonts w:hint="eastAsia" w:ascii="仿宋" w:hAnsi="仿宋" w:eastAsia="仿宋" w:cs="仿宋"/>
                <w:i w:val="0"/>
                <w:iCs w:val="0"/>
                <w:caps w:val="0"/>
                <w:color w:val="0F1115"/>
                <w:spacing w:val="0"/>
                <w:kern w:val="2"/>
                <w:sz w:val="28"/>
                <w:szCs w:val="28"/>
                <w:shd w:val="clear" w:fill="FFFFFF"/>
                <w:lang w:val="en-US" w:eastAsia="zh-CN" w:bidi="ar-SA"/>
              </w:rPr>
            </w:pPr>
          </w:p>
        </w:tc>
      </w:tr>
      <w:tr w14:paraId="232A3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08" w:type="dxa"/>
            <w:vMerge w:val="continue"/>
            <w:shd w:val="clear" w:color="auto" w:fill="auto"/>
            <w:noWrap w:val="0"/>
            <w:tcMar>
              <w:top w:w="-1" w:type="dxa"/>
              <w:left w:w="-1" w:type="dxa"/>
              <w:bottom w:w="-1" w:type="dxa"/>
              <w:right w:w="-1" w:type="dxa"/>
            </w:tcMar>
            <w:vAlign w:val="center"/>
          </w:tcPr>
          <w:p w14:paraId="6A0624B2">
            <w:pPr>
              <w:keepNext w:val="0"/>
              <w:keepLines w:val="0"/>
              <w:suppressLineNumbers w:val="0"/>
              <w:spacing w:before="0" w:beforeAutospacing="0" w:after="0" w:afterAutospacing="0" w:line="300" w:lineRule="exact"/>
              <w:ind w:left="0" w:right="0" w:firstLine="0" w:firstLineChars="0"/>
              <w:jc w:val="left"/>
              <w:rPr>
                <w:rFonts w:hint="eastAsia" w:ascii="仿宋" w:hAnsi="仿宋" w:eastAsia="仿宋" w:cs="仿宋"/>
                <w:i w:val="0"/>
                <w:iCs w:val="0"/>
                <w:color w:val="000000"/>
                <w:kern w:val="0"/>
                <w:sz w:val="28"/>
                <w:szCs w:val="28"/>
                <w:u w:val="none"/>
                <w:lang w:val="en-US" w:eastAsia="zh-CN" w:bidi="ar"/>
              </w:rPr>
            </w:pPr>
          </w:p>
        </w:tc>
        <w:tc>
          <w:tcPr>
            <w:tcW w:w="4440" w:type="dxa"/>
            <w:shd w:val="clear" w:color="auto" w:fill="auto"/>
            <w:noWrap w:val="0"/>
            <w:tcMar>
              <w:top w:w="-1" w:type="dxa"/>
              <w:left w:w="-1" w:type="dxa"/>
              <w:bottom w:w="-1" w:type="dxa"/>
              <w:right w:w="-1" w:type="dxa"/>
            </w:tcMar>
            <w:vAlign w:val="center"/>
          </w:tcPr>
          <w:p w14:paraId="3ED576B2">
            <w:pPr>
              <w:keepNext w:val="0"/>
              <w:keepLines w:val="0"/>
              <w:suppressLineNumbers w:val="0"/>
              <w:spacing w:before="0" w:beforeAutospacing="0" w:after="0" w:afterAutospacing="0" w:line="300" w:lineRule="exact"/>
              <w:ind w:left="0" w:right="0" w:firstLine="0" w:firstLineChars="0"/>
              <w:jc w:val="left"/>
              <w:rPr>
                <w:rFonts w:hint="default" w:ascii="仿宋" w:hAnsi="仿宋" w:eastAsia="仿宋" w:cs="仿宋"/>
                <w:i w:val="0"/>
                <w:iCs w:val="0"/>
                <w:caps w:val="0"/>
                <w:color w:val="0F1115"/>
                <w:spacing w:val="0"/>
                <w:sz w:val="28"/>
                <w:szCs w:val="28"/>
                <w:shd w:val="clear" w:fill="FFFFFF"/>
                <w:lang w:val="en-US" w:eastAsia="zh-CN"/>
              </w:rPr>
            </w:pPr>
            <w:r>
              <w:rPr>
                <w:rFonts w:hint="default" w:ascii="仿宋" w:hAnsi="仿宋" w:eastAsia="仿宋" w:cs="仿宋"/>
                <w:color w:val="0F1115"/>
                <w:sz w:val="28"/>
                <w:szCs w:val="28"/>
                <w:shd w:val="clear" w:fill="FFFFFF"/>
              </w:rPr>
              <w:t>1.管理费</w:t>
            </w:r>
            <w:r>
              <w:rPr>
                <w:rFonts w:hint="eastAsia" w:ascii="仿宋" w:hAnsi="仿宋" w:eastAsia="仿宋" w:cs="仿宋"/>
                <w:color w:val="0F1115"/>
                <w:sz w:val="28"/>
                <w:szCs w:val="28"/>
                <w:shd w:val="clear" w:fill="FFFFFF"/>
                <w:lang w:eastAsia="zh-CN"/>
              </w:rPr>
              <w:t>报价</w:t>
            </w:r>
            <w:r>
              <w:rPr>
                <w:rFonts w:hint="default" w:ascii="仿宋" w:hAnsi="仿宋" w:eastAsia="仿宋" w:cs="仿宋"/>
                <w:color w:val="0F1115"/>
                <w:sz w:val="28"/>
                <w:szCs w:val="28"/>
                <w:shd w:val="clear" w:fill="FFFFFF"/>
              </w:rPr>
              <w:t>得分 (</w:t>
            </w:r>
            <w:r>
              <w:rPr>
                <w:rFonts w:hint="eastAsia" w:ascii="仿宋" w:hAnsi="仿宋" w:eastAsia="仿宋" w:cs="仿宋"/>
                <w:color w:val="0F1115"/>
                <w:sz w:val="28"/>
                <w:szCs w:val="28"/>
                <w:shd w:val="clear" w:fill="FFFFFF"/>
                <w:lang w:val="en-US" w:eastAsia="zh-CN"/>
              </w:rPr>
              <w:t>6</w:t>
            </w:r>
            <w:r>
              <w:rPr>
                <w:rFonts w:hint="default" w:ascii="仿宋" w:hAnsi="仿宋" w:eastAsia="仿宋" w:cs="仿宋"/>
                <w:color w:val="0F1115"/>
                <w:sz w:val="28"/>
                <w:szCs w:val="28"/>
                <w:shd w:val="clear" w:fill="FFFFFF"/>
              </w:rPr>
              <w:t>分)</w:t>
            </w:r>
          </w:p>
        </w:tc>
        <w:tc>
          <w:tcPr>
            <w:tcW w:w="2412" w:type="dxa"/>
            <w:shd w:val="clear" w:color="auto" w:fill="auto"/>
            <w:noWrap w:val="0"/>
            <w:tcMar>
              <w:top w:w="-1" w:type="dxa"/>
              <w:left w:w="-1" w:type="dxa"/>
              <w:bottom w:w="-1" w:type="dxa"/>
              <w:right w:w="-1" w:type="dxa"/>
            </w:tcMar>
            <w:vAlign w:val="center"/>
          </w:tcPr>
          <w:p w14:paraId="14ACEAAB">
            <w:pPr>
              <w:keepNext w:val="0"/>
              <w:keepLines w:val="0"/>
              <w:numPr>
                <w:ilvl w:val="-1"/>
                <w:numId w:val="0"/>
              </w:numPr>
              <w:suppressLineNumbers w:val="0"/>
              <w:spacing w:before="0" w:beforeAutospacing="0" w:after="0" w:afterAutospacing="0" w:line="300" w:lineRule="exact"/>
              <w:ind w:left="0" w:leftChars="0" w:right="0" w:firstLine="0" w:firstLineChars="0"/>
              <w:jc w:val="left"/>
              <w:rPr>
                <w:rFonts w:hint="default" w:ascii="仿宋" w:hAnsi="仿宋" w:eastAsia="仿宋" w:cs="Times New Roman"/>
                <w:sz w:val="24"/>
                <w:szCs w:val="24"/>
              </w:rPr>
            </w:pPr>
            <w:r>
              <w:rPr>
                <w:rFonts w:hint="default" w:ascii="仿宋" w:hAnsi="仿宋" w:eastAsia="仿宋" w:cs="Times New Roman"/>
                <w:sz w:val="24"/>
                <w:szCs w:val="24"/>
              </w:rPr>
              <w:t>满足</w:t>
            </w:r>
            <w:r>
              <w:rPr>
                <w:rFonts w:hint="eastAsia" w:ascii="仿宋" w:hAnsi="仿宋" w:eastAsia="仿宋" w:cs="Times New Roman"/>
                <w:sz w:val="24"/>
                <w:szCs w:val="24"/>
                <w:lang w:val="en-US" w:eastAsia="zh-CN"/>
              </w:rPr>
              <w:t>采购</w:t>
            </w:r>
            <w:r>
              <w:rPr>
                <w:rFonts w:hint="default" w:ascii="仿宋" w:hAnsi="仿宋" w:eastAsia="仿宋" w:cs="Times New Roman"/>
                <w:sz w:val="24"/>
                <w:szCs w:val="24"/>
              </w:rPr>
              <w:t>文件要求且</w:t>
            </w:r>
            <w:r>
              <w:rPr>
                <w:rFonts w:hint="eastAsia" w:ascii="仿宋" w:hAnsi="仿宋" w:eastAsia="仿宋" w:cs="Times New Roman"/>
                <w:sz w:val="24"/>
                <w:szCs w:val="24"/>
                <w:lang w:val="en-US" w:eastAsia="zh-CN"/>
              </w:rPr>
              <w:t>管理费费率最高</w:t>
            </w:r>
            <w:r>
              <w:rPr>
                <w:rFonts w:hint="default" w:ascii="仿宋" w:hAnsi="仿宋" w:eastAsia="仿宋" w:cs="Times New Roman"/>
                <w:sz w:val="24"/>
                <w:szCs w:val="24"/>
              </w:rPr>
              <w:t>的报价为评</w:t>
            </w:r>
            <w:r>
              <w:rPr>
                <w:rFonts w:hint="eastAsia" w:ascii="仿宋" w:hAnsi="仿宋" w:eastAsia="仿宋" w:cs="Times New Roman"/>
                <w:sz w:val="24"/>
                <w:szCs w:val="24"/>
                <w:lang w:val="en-US" w:eastAsia="zh-CN"/>
              </w:rPr>
              <w:t>审</w:t>
            </w:r>
            <w:r>
              <w:rPr>
                <w:rFonts w:hint="default" w:ascii="仿宋" w:hAnsi="仿宋" w:eastAsia="仿宋" w:cs="Times New Roman"/>
                <w:sz w:val="24"/>
                <w:szCs w:val="24"/>
              </w:rPr>
              <w:t>基准价。</w:t>
            </w:r>
          </w:p>
        </w:tc>
      </w:tr>
      <w:tr w14:paraId="2AADD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08" w:type="dxa"/>
            <w:vMerge w:val="continue"/>
            <w:shd w:val="clear" w:color="auto" w:fill="auto"/>
            <w:noWrap w:val="0"/>
            <w:tcMar>
              <w:top w:w="-1" w:type="dxa"/>
              <w:left w:w="-1" w:type="dxa"/>
              <w:bottom w:w="-1" w:type="dxa"/>
              <w:right w:w="-1" w:type="dxa"/>
            </w:tcMar>
            <w:vAlign w:val="center"/>
          </w:tcPr>
          <w:p w14:paraId="5C7A8EF3">
            <w:pPr>
              <w:keepNext w:val="0"/>
              <w:keepLines w:val="0"/>
              <w:suppressLineNumbers w:val="0"/>
              <w:spacing w:before="0" w:beforeAutospacing="0" w:after="0" w:afterAutospacing="0" w:line="300" w:lineRule="exact"/>
              <w:ind w:left="0" w:right="0" w:firstLine="0" w:firstLineChars="0"/>
              <w:jc w:val="left"/>
              <w:rPr>
                <w:rFonts w:hint="eastAsia" w:ascii="仿宋" w:hAnsi="仿宋" w:eastAsia="仿宋" w:cs="仿宋"/>
                <w:i w:val="0"/>
                <w:iCs w:val="0"/>
                <w:color w:val="000000"/>
                <w:kern w:val="0"/>
                <w:sz w:val="28"/>
                <w:szCs w:val="28"/>
                <w:u w:val="none"/>
                <w:lang w:val="en-US" w:eastAsia="zh-CN" w:bidi="ar"/>
              </w:rPr>
            </w:pPr>
          </w:p>
        </w:tc>
        <w:tc>
          <w:tcPr>
            <w:tcW w:w="4440" w:type="dxa"/>
            <w:shd w:val="clear" w:color="auto" w:fill="auto"/>
            <w:noWrap w:val="0"/>
            <w:tcMar>
              <w:top w:w="-1" w:type="dxa"/>
              <w:left w:w="-1" w:type="dxa"/>
              <w:bottom w:w="-1" w:type="dxa"/>
              <w:right w:w="-1" w:type="dxa"/>
            </w:tcMar>
            <w:vAlign w:val="center"/>
          </w:tcPr>
          <w:p w14:paraId="02F16A93">
            <w:pPr>
              <w:keepNext w:val="0"/>
              <w:keepLines w:val="0"/>
              <w:suppressLineNumbers w:val="0"/>
              <w:spacing w:before="0" w:beforeAutospacing="0" w:after="0" w:afterAutospacing="0" w:line="300" w:lineRule="exact"/>
              <w:ind w:left="0" w:right="0" w:firstLine="0" w:firstLineChars="0"/>
              <w:jc w:val="left"/>
              <w:rPr>
                <w:rFonts w:hint="eastAsia" w:ascii="仿宋" w:hAnsi="仿宋" w:eastAsia="仿宋" w:cs="仿宋"/>
                <w:i w:val="0"/>
                <w:iCs w:val="0"/>
                <w:caps w:val="0"/>
                <w:color w:val="0F1115"/>
                <w:spacing w:val="0"/>
                <w:sz w:val="28"/>
                <w:szCs w:val="28"/>
                <w:shd w:val="clear" w:fill="FFFFFF"/>
              </w:rPr>
            </w:pPr>
            <w:r>
              <w:rPr>
                <w:rFonts w:hint="eastAsia" w:ascii="仿宋" w:hAnsi="仿宋" w:eastAsia="仿宋" w:cs="仿宋"/>
                <w:color w:val="0F1115"/>
                <w:sz w:val="28"/>
                <w:szCs w:val="28"/>
                <w:shd w:val="clear" w:fill="FFFFFF"/>
              </w:rPr>
              <w:t>2.服务项目报价得分（1</w:t>
            </w:r>
            <w:r>
              <w:rPr>
                <w:rFonts w:hint="eastAsia" w:ascii="仿宋" w:hAnsi="仿宋" w:eastAsia="仿宋" w:cs="仿宋"/>
                <w:color w:val="0F1115"/>
                <w:sz w:val="28"/>
                <w:szCs w:val="28"/>
                <w:shd w:val="clear" w:fill="FFFFFF"/>
                <w:lang w:val="en-US" w:eastAsia="zh-CN"/>
              </w:rPr>
              <w:t>0</w:t>
            </w:r>
            <w:r>
              <w:rPr>
                <w:rFonts w:hint="eastAsia" w:ascii="仿宋" w:hAnsi="仿宋" w:eastAsia="仿宋" w:cs="仿宋"/>
                <w:color w:val="0F1115"/>
                <w:sz w:val="28"/>
                <w:szCs w:val="28"/>
                <w:shd w:val="clear" w:fill="FFFFFF"/>
              </w:rPr>
              <w:t>分）</w:t>
            </w:r>
          </w:p>
        </w:tc>
        <w:tc>
          <w:tcPr>
            <w:tcW w:w="2412" w:type="dxa"/>
            <w:shd w:val="clear" w:color="auto" w:fill="auto"/>
            <w:noWrap w:val="0"/>
            <w:tcMar>
              <w:top w:w="-1" w:type="dxa"/>
              <w:left w:w="-1" w:type="dxa"/>
              <w:bottom w:w="-1" w:type="dxa"/>
              <w:right w:w="-1" w:type="dxa"/>
            </w:tcMar>
            <w:vAlign w:val="center"/>
          </w:tcPr>
          <w:p w14:paraId="67668E4C">
            <w:pPr>
              <w:keepNext w:val="0"/>
              <w:keepLines w:val="0"/>
              <w:numPr>
                <w:ilvl w:val="-1"/>
                <w:numId w:val="0"/>
              </w:numPr>
              <w:suppressLineNumbers w:val="0"/>
              <w:spacing w:before="0" w:beforeAutospacing="0" w:after="0" w:afterAutospacing="0" w:line="300" w:lineRule="exact"/>
              <w:ind w:left="0" w:leftChars="0" w:right="0" w:firstLine="0" w:firstLineChars="0"/>
              <w:jc w:val="left"/>
              <w:rPr>
                <w:rFonts w:hint="default" w:ascii="仿宋" w:hAnsi="仿宋" w:eastAsia="仿宋" w:cs="Times New Roman"/>
                <w:sz w:val="24"/>
                <w:szCs w:val="24"/>
              </w:rPr>
            </w:pPr>
            <w:r>
              <w:rPr>
                <w:rFonts w:hint="default" w:ascii="仿宋" w:hAnsi="仿宋" w:eastAsia="仿宋" w:cs="Times New Roman"/>
                <w:sz w:val="24"/>
                <w:szCs w:val="24"/>
              </w:rPr>
              <w:t>满足</w:t>
            </w:r>
            <w:r>
              <w:rPr>
                <w:rFonts w:hint="eastAsia" w:ascii="仿宋" w:hAnsi="仿宋" w:eastAsia="仿宋" w:cs="Times New Roman"/>
                <w:sz w:val="24"/>
                <w:szCs w:val="24"/>
                <w:lang w:val="en-US" w:eastAsia="zh-CN"/>
              </w:rPr>
              <w:t>采购</w:t>
            </w:r>
            <w:r>
              <w:rPr>
                <w:rFonts w:hint="default" w:ascii="仿宋" w:hAnsi="仿宋" w:eastAsia="仿宋" w:cs="Times New Roman"/>
                <w:sz w:val="24"/>
                <w:szCs w:val="24"/>
              </w:rPr>
              <w:t>文件要求且</w:t>
            </w:r>
            <w:r>
              <w:rPr>
                <w:rFonts w:hint="eastAsia" w:ascii="仿宋" w:hAnsi="仿宋" w:eastAsia="仿宋" w:cs="Times New Roman"/>
                <w:sz w:val="24"/>
                <w:szCs w:val="24"/>
                <w:lang w:val="en-US" w:eastAsia="zh-CN"/>
              </w:rPr>
              <w:t>服务项目报价下浮率</w:t>
            </w:r>
            <w:r>
              <w:rPr>
                <w:rFonts w:hint="default" w:ascii="仿宋" w:hAnsi="仿宋" w:eastAsia="仿宋" w:cs="Times New Roman"/>
                <w:sz w:val="24"/>
                <w:szCs w:val="24"/>
              </w:rPr>
              <w:t>最低的报价为评</w:t>
            </w:r>
            <w:r>
              <w:rPr>
                <w:rFonts w:hint="eastAsia" w:ascii="仿宋" w:hAnsi="仿宋" w:eastAsia="仿宋" w:cs="Times New Roman"/>
                <w:sz w:val="24"/>
                <w:szCs w:val="24"/>
                <w:lang w:val="en-US" w:eastAsia="zh-CN"/>
              </w:rPr>
              <w:t>审</w:t>
            </w:r>
            <w:r>
              <w:rPr>
                <w:rFonts w:hint="default" w:ascii="仿宋" w:hAnsi="仿宋" w:eastAsia="仿宋" w:cs="Times New Roman"/>
                <w:sz w:val="24"/>
                <w:szCs w:val="24"/>
              </w:rPr>
              <w:t>基准价。</w:t>
            </w:r>
          </w:p>
        </w:tc>
      </w:tr>
    </w:tbl>
    <w:p w14:paraId="313420A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8A50A8"/>
    <w:rsid w:val="1F8A50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4"/>
    <w:next w:val="1"/>
    <w:unhideWhenUsed/>
    <w:qFormat/>
    <w:uiPriority w:val="0"/>
    <w:pPr>
      <w:widowControl w:val="0"/>
      <w:spacing w:beforeAutospacing="1" w:afterAutospacing="1"/>
      <w:jc w:val="left"/>
      <w:outlineLvl w:val="3"/>
    </w:pPr>
    <w:rPr>
      <w:rFonts w:hint="eastAsia" w:ascii="宋体" w:hAnsi="宋体" w:eastAsia="宋体" w:cs="Times New Roman"/>
      <w:b/>
      <w:bCs/>
      <w:kern w:val="0"/>
      <w:sz w:val="24"/>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2026-08-11T00:50:00Z</dcterms:created>
  <dc:creator>Lz源</dc:creator>
  <cp:lastModifiedBy>Lz源</cp:lastModifiedBy>
  <dcterms:modified xsi:type="dcterms:W3CDTF">2026-08-11T00:52:56Z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B64F1D9617594C2C8C07B5C960016CC5_11</vt:lpwstr>
  </property>
  <property fmtid="{D5CDD505-2E9C-101B-9397-08002B2CF9AE}" pid="4" name="KSOTemplateDocerSaveRecord">
    <vt:lpwstr>eyJoZGlkIjoiNTZhZTNkMWY5YzY4ZWJkMDRjNDMzYTkzYWY1NTU0M2UiLCJ1c2VySWQiOiIyMTgxMjIxMTgifQ==</vt:lpwstr>
  </property>
</Properties>
</file>