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ascii="仿宋_GB2312" w:hAnsi="仿宋_GB2312" w:cs="仿宋_GB2312"/>
          <w:b/>
          <w:bCs/>
        </w:rPr>
      </w:pPr>
      <w:r>
        <w:rPr>
          <w:rFonts w:hint="eastAsia"/>
          <w:b/>
          <w:bCs/>
        </w:rPr>
        <w:t>附件</w:t>
      </w:r>
      <w:r>
        <w:rPr>
          <w:rFonts w:hint="eastAsia"/>
          <w:b/>
          <w:bCs/>
          <w:lang w:val="en-US" w:eastAsia="zh-CN"/>
        </w:rPr>
        <w:t>1</w:t>
      </w:r>
      <w:r>
        <w:rPr>
          <w:rFonts w:hint="eastAsia" w:ascii="仿宋_GB2312" w:hAnsi="仿宋_GB2312" w:cs="仿宋_GB2312"/>
          <w:b/>
          <w:bCs/>
        </w:rPr>
        <w:t>：</w:t>
      </w:r>
    </w:p>
    <w:p w14:paraId="593F3B1B">
      <w:pPr>
        <w:pStyle w:val="4"/>
        <w:ind w:firstLine="0"/>
        <w:jc w:val="center"/>
        <w:rPr>
          <w:rFonts w:hint="default"/>
          <w:color w:val="auto"/>
          <w:lang w:val="en-US" w:eastAsia="zh-CN"/>
        </w:rPr>
      </w:pPr>
      <w:r>
        <w:rPr>
          <w:rFonts w:hint="eastAsia" w:ascii="仿宋_GB2312" w:hAnsi="仿宋_GB2312" w:cs="仿宋_GB2312"/>
          <w:b/>
          <w:bCs/>
          <w:color w:val="auto"/>
          <w:sz w:val="32"/>
          <w:szCs w:val="32"/>
          <w:lang w:val="en-US" w:eastAsia="zh-CN"/>
        </w:rPr>
        <w:t>钙卫蛋白定量检测</w:t>
      </w:r>
      <w:r>
        <w:rPr>
          <w:rFonts w:hint="eastAsia" w:ascii="仿宋_GB2312" w:hAnsi="仿宋_GB2312" w:eastAsia="仿宋_GB2312" w:cs="仿宋_GB2312"/>
          <w:b/>
          <w:bCs/>
          <w:color w:val="auto"/>
          <w:sz w:val="32"/>
          <w:szCs w:val="32"/>
          <w:lang w:val="en-US" w:eastAsia="zh-CN"/>
        </w:rPr>
        <w:t>仪</w:t>
      </w:r>
      <w:r>
        <w:rPr>
          <w:rFonts w:hint="eastAsia"/>
          <w:color w:val="auto"/>
          <w:lang w:eastAsia="zh-CN"/>
        </w:rPr>
        <w:t>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45"/>
        <w:gridCol w:w="976"/>
        <w:gridCol w:w="6317"/>
      </w:tblGrid>
      <w:tr w14:paraId="6BC3B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845" w:type="dxa"/>
            <w:vAlign w:val="center"/>
          </w:tcPr>
          <w:p w14:paraId="2961A864">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976" w:type="dxa"/>
            <w:vAlign w:val="center"/>
          </w:tcPr>
          <w:p w14:paraId="1371F921">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6317" w:type="dxa"/>
          </w:tcPr>
          <w:p w14:paraId="4414FC3F">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6C81B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845" w:type="dxa"/>
            <w:vAlign w:val="center"/>
          </w:tcPr>
          <w:p w14:paraId="6EF7E950">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2744F85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EE393A4">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48299EDC">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1、所投产品具有有效的医疗器械注册证明。项目所需的全部试剂与耗材（依据相关法规不属于医疗器械管理的除外），均应获得国家药品监督管理局颁发的相应注册证明，且须纳入广东省医疗保障局规定的国家医疗保障信息平台药品和医用耗材招标采购管理子系统（以下简称新招采子系统）目录范围。</w:t>
            </w:r>
            <w:r>
              <w:rPr>
                <w:rFonts w:hint="eastAsia" w:ascii="仿宋" w:hAnsi="仿宋" w:eastAsia="仿宋" w:cs="仿宋"/>
                <w:strike w:val="0"/>
                <w:sz w:val="24"/>
                <w:szCs w:val="24"/>
                <w:lang w:val="en-US" w:eastAsia="zh-CN"/>
              </w:rPr>
              <w:t>所报产品</w:t>
            </w:r>
            <w:r>
              <w:rPr>
                <w:rFonts w:hint="eastAsia" w:ascii="仿宋" w:hAnsi="仿宋" w:eastAsia="仿宋" w:cs="仿宋"/>
                <w:sz w:val="24"/>
                <w:szCs w:val="24"/>
                <w:lang w:val="en-US" w:eastAsia="zh-CN"/>
              </w:rPr>
              <w:t>均须符合《医疗器械分类目录》及相关法律法规的规定。</w:t>
            </w:r>
            <w:r>
              <w:rPr>
                <w:rFonts w:hint="eastAsia" w:ascii="仿宋" w:hAnsi="仿宋" w:eastAsia="仿宋" w:cs="仿宋"/>
                <w:sz w:val="24"/>
                <w:szCs w:val="24"/>
                <w:lang w:eastAsia="zh-CN"/>
              </w:rPr>
              <w:t>投标人需在投标文件中提供下列资料进行响应：医疗器械注册证、不作医疗器械管理的证明（需标注对应国食药监械文件号，或提供官方出具的分类界定告知书）、不作为医疗器械管理产品的清晰产品图片（需清晰显示产品名称、规格型号、生产厂家等关键信息）、医疗器械分类相关证明材料。</w:t>
            </w:r>
          </w:p>
        </w:tc>
      </w:tr>
      <w:tr w14:paraId="692A2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845" w:type="dxa"/>
            <w:vAlign w:val="center"/>
          </w:tcPr>
          <w:p w14:paraId="7EFA8668">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0121304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25D4E83">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highlight w:val="none"/>
                <w:lang w:val="en-US" w:eastAsia="zh-CN"/>
              </w:rPr>
              <w:t>2、</w:t>
            </w:r>
            <w:r>
              <w:rPr>
                <w:rFonts w:ascii="仿宋" w:hAnsi="仿宋" w:eastAsia="仿宋" w:cs="仿宋"/>
                <w:sz w:val="24"/>
                <w:szCs w:val="24"/>
                <w:highlight w:val="none"/>
                <w:lang w:eastAsia="zh-CN"/>
              </w:rPr>
              <w:t>设备主要功能</w:t>
            </w:r>
            <w:r>
              <w:rPr>
                <w:rFonts w:hint="default" w:ascii="仿宋" w:hAnsi="仿宋" w:eastAsia="仿宋" w:cs="仿宋"/>
                <w:sz w:val="24"/>
                <w:szCs w:val="24"/>
                <w:highlight w:val="none"/>
                <w:lang w:eastAsia="zh-CN"/>
              </w:rPr>
              <w:t>、</w:t>
            </w:r>
            <w:r>
              <w:rPr>
                <w:rFonts w:ascii="仿宋" w:hAnsi="仿宋" w:eastAsia="仿宋" w:cs="仿宋"/>
                <w:sz w:val="24"/>
                <w:szCs w:val="24"/>
                <w:highlight w:val="none"/>
                <w:lang w:eastAsia="zh-CN"/>
              </w:rPr>
              <w:t>用途：</w:t>
            </w:r>
            <w:r>
              <w:rPr>
                <w:rFonts w:hint="eastAsia" w:ascii="仿宋" w:hAnsi="仿宋" w:eastAsia="仿宋" w:cs="仿宋"/>
                <w:kern w:val="0"/>
                <w:sz w:val="24"/>
                <w:szCs w:val="24"/>
                <w:lang w:val="en-US" w:eastAsia="zh-CN" w:bidi="ar-SA"/>
              </w:rPr>
              <w:t>用于精准测定人体粪便、血清、血浆等样本中的钙卫蛋白浓度。</w:t>
            </w:r>
          </w:p>
        </w:tc>
      </w:tr>
      <w:tr w14:paraId="5FF68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845" w:type="dxa"/>
            <w:vAlign w:val="center"/>
          </w:tcPr>
          <w:p w14:paraId="2585BBE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7498CAA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723C093">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 xml:space="preserve">保修期≥ </w:t>
            </w: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，全面保养、保修及终身校准，</w:t>
            </w:r>
            <w:r>
              <w:rPr>
                <w:rFonts w:hint="default" w:ascii="仿宋" w:hAnsi="仿宋" w:eastAsia="仿宋" w:cs="仿宋"/>
                <w:sz w:val="24"/>
                <w:szCs w:val="24"/>
                <w:lang w:val="en-US" w:eastAsia="zh-CN"/>
              </w:rPr>
              <w:t>费用均包含在投标报价中。</w:t>
            </w:r>
          </w:p>
        </w:tc>
      </w:tr>
      <w:tr w14:paraId="370BA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845" w:type="dxa"/>
            <w:vAlign w:val="center"/>
          </w:tcPr>
          <w:p w14:paraId="34A58AE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119374A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94C8636">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设备主机使用年限≥</w:t>
            </w:r>
            <w:r>
              <w:rPr>
                <w:rFonts w:hint="eastAsia" w:ascii="仿宋" w:hAnsi="仿宋" w:eastAsia="仿宋" w:cs="仿宋"/>
                <w:sz w:val="24"/>
                <w:szCs w:val="24"/>
                <w:highlight w:val="none"/>
                <w:lang w:val="en-US" w:eastAsia="zh-CN"/>
              </w:rPr>
              <w:t>7</w:t>
            </w:r>
            <w:r>
              <w:rPr>
                <w:rFonts w:hint="default" w:ascii="仿宋" w:hAnsi="仿宋" w:eastAsia="仿宋" w:cs="仿宋"/>
                <w:sz w:val="24"/>
                <w:szCs w:val="24"/>
                <w:lang w:val="en-US" w:eastAsia="zh-CN"/>
              </w:rPr>
              <w:t>年，（提供同型号产品铭牌/标签或使用说明书等证明）</w:t>
            </w:r>
            <w:r>
              <w:rPr>
                <w:rFonts w:hint="eastAsia" w:ascii="仿宋" w:hAnsi="仿宋" w:eastAsia="仿宋" w:cs="仿宋"/>
                <w:sz w:val="24"/>
                <w:szCs w:val="24"/>
                <w:lang w:val="en-US" w:eastAsia="zh-CN"/>
              </w:rPr>
              <w:t>。</w:t>
            </w:r>
          </w:p>
        </w:tc>
      </w:tr>
      <w:tr w14:paraId="5ABD5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845" w:type="dxa"/>
            <w:vAlign w:val="center"/>
          </w:tcPr>
          <w:p w14:paraId="414F255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1F76A70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0F4E25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设备交货日期不得超过生产日期后6个月</w:t>
            </w:r>
            <w:r>
              <w:rPr>
                <w:rFonts w:hint="eastAsia" w:ascii="仿宋" w:hAnsi="仿宋" w:eastAsia="仿宋" w:cs="仿宋"/>
                <w:sz w:val="24"/>
                <w:szCs w:val="24"/>
                <w:lang w:val="en-US" w:eastAsia="zh-CN"/>
              </w:rPr>
              <w:t>。</w:t>
            </w:r>
          </w:p>
        </w:tc>
      </w:tr>
      <w:tr w14:paraId="7D199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845" w:type="dxa"/>
            <w:vAlign w:val="center"/>
          </w:tcPr>
          <w:p w14:paraId="3C04E74B">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rPr>
              <w:t>★</w:t>
            </w:r>
          </w:p>
        </w:tc>
        <w:tc>
          <w:tcPr>
            <w:tcW w:w="976" w:type="dxa"/>
            <w:vAlign w:val="center"/>
          </w:tcPr>
          <w:p w14:paraId="47F2F9C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060287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default" w:ascii="仿宋" w:hAnsi="仿宋" w:eastAsia="仿宋" w:cs="仿宋"/>
                <w:sz w:val="24"/>
                <w:szCs w:val="24"/>
                <w:lang w:val="en-US" w:eastAsia="zh-CN"/>
              </w:rPr>
              <w:t>所投设备为非召回、非停产设备。</w:t>
            </w:r>
          </w:p>
        </w:tc>
      </w:tr>
      <w:tr w14:paraId="0E613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ADCF1C6">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b w:val="0"/>
                <w:bCs w:val="0"/>
                <w:color w:val="auto"/>
                <w:kern w:val="2"/>
                <w:sz w:val="24"/>
                <w:szCs w:val="24"/>
                <w:lang w:val="en-US" w:eastAsia="zh-CN" w:bidi="ar-SA"/>
              </w:rPr>
              <w:t>★</w:t>
            </w:r>
          </w:p>
        </w:tc>
        <w:tc>
          <w:tcPr>
            <w:tcW w:w="976" w:type="dxa"/>
            <w:vAlign w:val="center"/>
          </w:tcPr>
          <w:p w14:paraId="1969848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8792A31">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color w:val="000000" w:themeColor="text1"/>
                <w:sz w:val="24"/>
                <w:szCs w:val="24"/>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lang w:val="en-US" w:eastAsia="zh-CN"/>
                <w14:textFill>
                  <w14:solidFill>
                    <w14:schemeClr w14:val="tx1"/>
                  </w14:solidFill>
                </w14:textFill>
              </w:rPr>
              <w:t>设备</w:t>
            </w:r>
            <w:r>
              <w:rPr>
                <w:rFonts w:ascii="仿宋" w:hAnsi="仿宋" w:eastAsia="仿宋" w:cs="仿宋"/>
                <w:color w:val="000000" w:themeColor="text1"/>
                <w:sz w:val="24"/>
                <w:szCs w:val="24"/>
                <w:lang w:eastAsia="zh-CN"/>
                <w14:textFill>
                  <w14:solidFill>
                    <w14:schemeClr w14:val="tx1"/>
                  </w14:solidFill>
                </w14:textFill>
              </w:rPr>
              <w:t>主要技术要求（达到或优于）</w:t>
            </w:r>
          </w:p>
          <w:p w14:paraId="6E07291A">
            <w:pPr>
              <w:ind w:left="0" w:leftChars="0" w:firstLine="0" w:firstLineChars="0"/>
              <w:rPr>
                <w:rFonts w:hint="default" w:ascii="仿宋" w:hAnsi="仿宋" w:eastAsia="仿宋" w:cs="仿宋"/>
                <w:color w:val="000000" w:themeColor="text1"/>
                <w:sz w:val="24"/>
                <w:szCs w:val="24"/>
                <w:u w:val="single"/>
                <w:lang w:eastAsia="zh-CN"/>
                <w14:textFill>
                  <w14:solidFill>
                    <w14:schemeClr w14:val="tx1"/>
                  </w14:solidFill>
                </w14:textFill>
              </w:rPr>
            </w:pPr>
            <w:r>
              <w:rPr>
                <w:rFonts w:hint="eastAsia" w:ascii="仿宋" w:hAnsi="仿宋" w:eastAsia="仿宋" w:cs="仿宋"/>
                <w:sz w:val="24"/>
                <w:szCs w:val="24"/>
                <w:lang w:val="en-US" w:eastAsia="zh-CN"/>
              </w:rPr>
              <w:t>1、</w:t>
            </w:r>
            <w:r>
              <w:rPr>
                <w:rFonts w:hint="default" w:ascii="仿宋" w:hAnsi="仿宋" w:eastAsia="仿宋" w:cs="仿宋"/>
                <w:color w:val="000000" w:themeColor="text1"/>
                <w:kern w:val="0"/>
                <w:sz w:val="24"/>
                <w:szCs w:val="24"/>
                <w:lang w:val="en-US" w:eastAsia="zh-CN" w:bidi="ar-SA"/>
                <w14:textFill>
                  <w14:solidFill>
                    <w14:schemeClr w14:val="tx1"/>
                  </w14:solidFill>
                </w14:textFill>
              </w:rPr>
              <w:t>检测项目</w:t>
            </w:r>
            <w:r>
              <w:rPr>
                <w:rFonts w:hint="eastAsia" w:ascii="仿宋" w:hAnsi="仿宋" w:eastAsia="仿宋" w:cs="仿宋"/>
                <w:color w:val="000000" w:themeColor="text1"/>
                <w:kern w:val="0"/>
                <w:sz w:val="24"/>
                <w:szCs w:val="24"/>
                <w:lang w:val="en-US" w:eastAsia="zh-CN" w:bidi="ar-SA"/>
                <w14:textFill>
                  <w14:solidFill>
                    <w14:schemeClr w14:val="tx1"/>
                  </w14:solidFill>
                </w14:textFill>
              </w:rPr>
              <w:t>：钙卫蛋白定量检测。</w:t>
            </w:r>
          </w:p>
        </w:tc>
      </w:tr>
      <w:tr w14:paraId="7D2B6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555B8A52">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b w:val="0"/>
                <w:bCs w:val="0"/>
                <w:color w:val="auto"/>
                <w:kern w:val="2"/>
                <w:sz w:val="24"/>
                <w:szCs w:val="24"/>
                <w:lang w:val="en-US" w:eastAsia="zh-CN" w:bidi="ar-SA"/>
              </w:rPr>
              <w:t>★</w:t>
            </w:r>
          </w:p>
        </w:tc>
        <w:tc>
          <w:tcPr>
            <w:tcW w:w="976" w:type="dxa"/>
            <w:vAlign w:val="center"/>
          </w:tcPr>
          <w:p w14:paraId="034D047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798F031">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2、样本类型：粪便。</w:t>
            </w:r>
          </w:p>
        </w:tc>
      </w:tr>
      <w:tr w14:paraId="57D74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39ED2FA">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309E4897">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58E9ABB">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3、方法学：化学发光法、免疫比浊法、荧光免疫层析法。</w:t>
            </w:r>
          </w:p>
        </w:tc>
      </w:tr>
      <w:tr w14:paraId="40F89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52C2BEEA">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b w:val="0"/>
                <w:bCs w:val="0"/>
                <w:color w:val="auto"/>
                <w:kern w:val="2"/>
                <w:sz w:val="24"/>
                <w:szCs w:val="24"/>
                <w:lang w:val="en-US" w:eastAsia="zh-CN" w:bidi="ar-SA"/>
              </w:rPr>
              <w:t>★</w:t>
            </w:r>
          </w:p>
        </w:tc>
        <w:tc>
          <w:tcPr>
            <w:tcW w:w="976" w:type="dxa"/>
            <w:vAlign w:val="center"/>
          </w:tcPr>
          <w:p w14:paraId="44F2D36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9A45E27">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4、上样方式：全自动上样检测。</w:t>
            </w:r>
          </w:p>
        </w:tc>
      </w:tr>
      <w:tr w14:paraId="4878A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6507B0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1DD9831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2BACAAE">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5、检测速率：≥100T/小时。</w:t>
            </w:r>
          </w:p>
        </w:tc>
      </w:tr>
      <w:tr w14:paraId="4F57F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3DDCA85F">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079DB86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A92B055">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6、检测结果上限：不低于2000mg/kg。</w:t>
            </w:r>
          </w:p>
        </w:tc>
      </w:tr>
      <w:tr w14:paraId="23D12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41671D84">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476600D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0FF0965">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7、稀释方式：智能自动稀释。</w:t>
            </w:r>
          </w:p>
        </w:tc>
      </w:tr>
      <w:tr w14:paraId="6D7BC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845" w:type="dxa"/>
            <w:vAlign w:val="center"/>
          </w:tcPr>
          <w:p w14:paraId="358FC651">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79C58E3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157DC25">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8、提供配套的粪便采集器。</w:t>
            </w:r>
          </w:p>
        </w:tc>
      </w:tr>
      <w:tr w14:paraId="7C0CE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 w:hRule="atLeast"/>
        </w:trPr>
        <w:tc>
          <w:tcPr>
            <w:tcW w:w="1845" w:type="dxa"/>
            <w:vAlign w:val="center"/>
          </w:tcPr>
          <w:p w14:paraId="04C8ABC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p>
        </w:tc>
        <w:tc>
          <w:tcPr>
            <w:tcW w:w="976" w:type="dxa"/>
            <w:vAlign w:val="center"/>
          </w:tcPr>
          <w:p w14:paraId="1413F96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C6704C9">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9、提供室内质控品。</w:t>
            </w:r>
          </w:p>
        </w:tc>
      </w:tr>
      <w:tr w14:paraId="5CFCF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174C9D3">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61AF8D26">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447FA43">
            <w:pPr>
              <w:ind w:left="0" w:leftChars="0" w:firstLine="0" w:firstLineChars="0"/>
              <w:rPr>
                <w:rFonts w:hint="default"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10、加样系统（配备液面跟随，防撞检测，液面检测，堵针检测，空吸报警等功能）。</w:t>
            </w:r>
          </w:p>
        </w:tc>
      </w:tr>
      <w:tr w14:paraId="0CADD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2F2FC6AE">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ascii="仿宋" w:hAnsi="仿宋" w:eastAsia="仿宋" w:cs="仿宋"/>
                <w:sz w:val="24"/>
              </w:rPr>
              <w:t>▲</w:t>
            </w:r>
          </w:p>
        </w:tc>
        <w:tc>
          <w:tcPr>
            <w:tcW w:w="976" w:type="dxa"/>
            <w:vAlign w:val="center"/>
          </w:tcPr>
          <w:p w14:paraId="73BD9A0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BC31976">
            <w:pPr>
              <w:ind w:left="0" w:leftChars="0" w:firstLine="0" w:firstLineChars="0"/>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11、批内重复性：≤10%。</w:t>
            </w:r>
          </w:p>
        </w:tc>
      </w:tr>
      <w:tr w14:paraId="38F51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D43129E">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r>
              <w:rPr>
                <w:rFonts w:hint="eastAsia" w:ascii="仿宋" w:hAnsi="仿宋" w:eastAsia="仿宋" w:cs="仿宋"/>
                <w:sz w:val="24"/>
                <w:szCs w:val="24"/>
                <w:lang w:val="en-US" w:eastAsia="zh-CN"/>
              </w:rPr>
              <w:t>★</w:t>
            </w:r>
          </w:p>
        </w:tc>
        <w:tc>
          <w:tcPr>
            <w:tcW w:w="976" w:type="dxa"/>
            <w:vAlign w:val="center"/>
          </w:tcPr>
          <w:p w14:paraId="16E2F80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AE6CD35">
            <w:pPr>
              <w:ind w:left="0" w:leftChars="0" w:firstLine="0" w:firstLineChars="0"/>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12、实现LIS双向传输功能，费用包含在投标报价中。</w:t>
            </w:r>
          </w:p>
        </w:tc>
      </w:tr>
      <w:tr w14:paraId="22DBD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8FE9BA4">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 w:hAnsi="仿宋" w:eastAsia="仿宋" w:cs="仿宋"/>
                <w:sz w:val="24"/>
                <w:szCs w:val="24"/>
              </w:rPr>
            </w:pPr>
          </w:p>
        </w:tc>
        <w:tc>
          <w:tcPr>
            <w:tcW w:w="976" w:type="dxa"/>
            <w:vAlign w:val="center"/>
          </w:tcPr>
          <w:p w14:paraId="20C1B82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B29DAB1">
            <w:pPr>
              <w:ind w:left="0" w:leftChars="0" w:firstLine="0" w:firstLineChars="0"/>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13、仪器故障十分钟内响应（含远程指导）。</w:t>
            </w:r>
          </w:p>
        </w:tc>
      </w:tr>
      <w:tr w14:paraId="42C97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34832430">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790704E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B48636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三、试剂、耗材要求</w:t>
            </w:r>
          </w:p>
          <w:p w14:paraId="5774456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1、基本要求</w:t>
            </w:r>
          </w:p>
          <w:p w14:paraId="1EFA1D52">
            <w:pPr>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投标人所投设备如需配套专用</w:t>
            </w:r>
            <w:r>
              <w:rPr>
                <w:rFonts w:hint="eastAsia" w:ascii="仿宋" w:hAnsi="仿宋" w:eastAsia="仿宋" w:cs="仿宋"/>
                <w:sz w:val="24"/>
                <w:szCs w:val="24"/>
                <w:lang w:eastAsia="zh-CN"/>
              </w:rPr>
              <w:t>试剂、</w:t>
            </w:r>
            <w:r>
              <w:rPr>
                <w:rFonts w:hint="eastAsia" w:ascii="仿宋" w:hAnsi="仿宋" w:eastAsia="仿宋" w:cs="仿宋"/>
                <w:sz w:val="24"/>
                <w:szCs w:val="24"/>
              </w:rPr>
              <w:t>耗材，须在投标文件中完整列明该设备开展检验、检查、治疗项目所需的全部专机专用试剂、耗材，明确标注所有产品的型号、规格（规格应覆盖大、中、小等各类型号），以满足医院多元化使用需求。如存在专机专用的原厂原装试剂</w:t>
            </w:r>
            <w:r>
              <w:rPr>
                <w:rFonts w:hint="eastAsia" w:ascii="仿宋" w:hAnsi="仿宋" w:eastAsia="仿宋" w:cs="仿宋"/>
                <w:sz w:val="24"/>
                <w:szCs w:val="24"/>
                <w:lang w:eastAsia="zh-CN"/>
              </w:rPr>
              <w:t>、</w:t>
            </w:r>
            <w:r>
              <w:rPr>
                <w:rFonts w:hint="eastAsia" w:ascii="仿宋" w:hAnsi="仿宋" w:eastAsia="仿宋" w:cs="仿宋"/>
                <w:sz w:val="24"/>
                <w:szCs w:val="24"/>
              </w:rPr>
              <w:t>耗材，投标人必须承诺提供与设备品牌一致的原厂原装产品；若无原厂原装产品，则须承诺提供与所投设备相兼容的试剂耗材。若所投设备无需使用专机专用耗材，除出具相关承诺外，还须提供不少于3个与所投设备适配的</w:t>
            </w:r>
            <w:r>
              <w:rPr>
                <w:rFonts w:hint="eastAsia" w:ascii="仿宋" w:hAnsi="仿宋" w:eastAsia="仿宋" w:cs="仿宋"/>
                <w:sz w:val="24"/>
                <w:szCs w:val="24"/>
                <w:lang w:eastAsia="zh-CN"/>
              </w:rPr>
              <w:t>试剂、</w:t>
            </w:r>
            <w:r>
              <w:rPr>
                <w:rFonts w:hint="eastAsia" w:ascii="仿宋" w:hAnsi="仿宋" w:eastAsia="仿宋" w:cs="仿宋"/>
                <w:sz w:val="24"/>
                <w:szCs w:val="24"/>
              </w:rPr>
              <w:t>耗材品牌，并详细</w:t>
            </w:r>
            <w:r>
              <w:rPr>
                <w:rFonts w:hint="eastAsia" w:ascii="仿宋" w:hAnsi="仿宋" w:eastAsia="仿宋" w:cs="仿宋"/>
                <w:sz w:val="24"/>
                <w:szCs w:val="24"/>
                <w:lang w:eastAsia="zh-CN"/>
              </w:rPr>
              <w:t>列明</w:t>
            </w:r>
            <w:r>
              <w:rPr>
                <w:rFonts w:hint="eastAsia" w:ascii="仿宋" w:hAnsi="仿宋" w:eastAsia="仿宋" w:cs="仿宋"/>
                <w:sz w:val="24"/>
                <w:szCs w:val="24"/>
              </w:rPr>
              <w:t>产品生产厂家、规格、型号及市场价格。若投标人所投设备无需使用任何耗材，须提供对应承诺函。所列配套专用试剂、耗材须为“新招采子系统”目录内收录的产品（不作医疗器械管理的产品除外）。</w:t>
            </w:r>
          </w:p>
          <w:p w14:paraId="0867801D">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eastAsia="zh-CN"/>
              </w:rPr>
              <w:t>针对本条款所列各项承诺，投标人须在投标阶段，须同步提交由试剂、耗材生产厂家及投标人共同出具加盖公章的承诺函进行响应，承诺函格式可由投标人自行拟定。此外，投标人应在投标文件中提供以下资料进行响应：报价表、新招采子系统平台截图及承诺函。</w:t>
            </w:r>
          </w:p>
        </w:tc>
      </w:tr>
      <w:tr w14:paraId="39E45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45FA8DEB">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7C5BC47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4CDE67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2、配套试剂、耗材报价要求</w:t>
            </w:r>
          </w:p>
          <w:p w14:paraId="4D97D52F">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（1）投标人须提供配套耗材的详细报价清单，包括但不限于：所有必需的试剂、耗材名称、生产企业、规格、型号、注册证号、单价（元/人份、元/盒、元/测试、元/支等）、“新招采子系统”产品 ID 、标明是否专机专用。</w:t>
            </w:r>
            <w:r>
              <w:rPr>
                <w:rFonts w:hint="eastAsia" w:ascii="仿宋" w:hAnsi="仿宋" w:eastAsia="仿宋" w:cs="仿宋"/>
                <w:sz w:val="24"/>
                <w:szCs w:val="24"/>
              </w:rPr>
              <w:t>投标人</w:t>
            </w:r>
            <w:r>
              <w:rPr>
                <w:rFonts w:hint="eastAsia" w:ascii="仿宋" w:hAnsi="仿宋" w:eastAsia="仿宋" w:cs="仿宋"/>
                <w:sz w:val="24"/>
                <w:szCs w:val="24"/>
                <w:lang w:eastAsia="zh-CN"/>
              </w:rPr>
              <w:t>须</w:t>
            </w:r>
            <w:r>
              <w:rPr>
                <w:rFonts w:hint="eastAsia" w:ascii="仿宋" w:hAnsi="仿宋" w:eastAsia="仿宋" w:cs="仿宋"/>
                <w:sz w:val="24"/>
                <w:szCs w:val="24"/>
              </w:rPr>
              <w:t>在投标文件中提供</w:t>
            </w:r>
            <w:r>
              <w:rPr>
                <w:rFonts w:hint="eastAsia" w:ascii="仿宋" w:hAnsi="仿宋" w:eastAsia="仿宋" w:cs="仿宋"/>
                <w:sz w:val="24"/>
                <w:szCs w:val="24"/>
                <w:lang w:eastAsia="zh-CN"/>
              </w:rPr>
              <w:t>报价表</w:t>
            </w:r>
            <w:r>
              <w:rPr>
                <w:rFonts w:hint="eastAsia" w:ascii="仿宋" w:hAnsi="仿宋" w:eastAsia="仿宋" w:cs="仿宋"/>
                <w:sz w:val="24"/>
                <w:szCs w:val="24"/>
              </w:rPr>
              <w:t>进行响应</w:t>
            </w:r>
            <w:r>
              <w:rPr>
                <w:rFonts w:hint="eastAsia" w:ascii="仿宋" w:hAnsi="仿宋" w:eastAsia="仿宋" w:cs="仿宋"/>
                <w:sz w:val="24"/>
                <w:szCs w:val="24"/>
                <w:lang w:eastAsia="zh-CN"/>
              </w:rPr>
              <w:t>。</w:t>
            </w:r>
          </w:p>
        </w:tc>
      </w:tr>
      <w:tr w14:paraId="2B04A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C862504">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3568651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BC2933B">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2）单一检测项目所需全部试剂与耗材（含仪器配套试剂、第三方质控品等各类消耗品），经按每人份核算加总后的成本，不得超过梅州地区对应检测项目收费标准中试剂成本占比的上限，即不得超过25%；对应检测项目信息为：项目编码250103008S，项目名称钙卫蛋白检测，收费标准117元</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投标人须在投标文件中提供</w:t>
            </w:r>
            <w:r>
              <w:rPr>
                <w:rFonts w:hint="eastAsia" w:ascii="仿宋" w:hAnsi="仿宋" w:eastAsia="仿宋" w:cs="仿宋"/>
                <w:color w:val="auto"/>
                <w:sz w:val="24"/>
                <w:szCs w:val="24"/>
                <w:lang w:val="en-US" w:eastAsia="zh-CN"/>
              </w:rPr>
              <w:t>承诺函、各项目对应梅州地区的收费价格表等资料进行响应。</w:t>
            </w:r>
          </w:p>
        </w:tc>
      </w:tr>
      <w:tr w14:paraId="0F051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1EA9E22">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46EB799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AEA77E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投标人对所有检验项目所需的配套耗材与试剂均须单独逐项列明。每项检验所需的核心主试剂必须进行单独报价，不得以免费形式提供，报价应包含全流程所需的包括校准品、质控品等辅助耗材。所申报的单价均不得超过下文所列价格。</w:t>
            </w:r>
          </w:p>
          <w:p w14:paraId="112F1B0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①承诺所有试剂、耗材单价不高于全国各省、市交易平台公布或交易的价格，且不高于梅州市最低交易价格。</w:t>
            </w:r>
          </w:p>
          <w:p w14:paraId="0D9DAA6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②承诺在设备使用期内，若采购人需要采购专机专用配套试剂、耗材，所供应的价格不得高于此次承诺单价，且中标人应确保产品及时供应。</w:t>
            </w:r>
          </w:p>
          <w:p w14:paraId="6DDBFCDE">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③承诺在设备使用期内，配套试剂、耗材价格如遇国家政策调整导致下调</w:t>
            </w:r>
            <w:r>
              <w:rPr>
                <w:rFonts w:hint="eastAsia" w:ascii="仿宋" w:hAnsi="仿宋" w:eastAsia="仿宋" w:cs="仿宋"/>
                <w:sz w:val="24"/>
                <w:szCs w:val="24"/>
              </w:rPr>
              <w:t>、新招采子系统价格下调</w:t>
            </w:r>
            <w:r>
              <w:rPr>
                <w:rFonts w:hint="eastAsia" w:ascii="仿宋" w:hAnsi="仿宋" w:eastAsia="仿宋" w:cs="仿宋"/>
                <w:sz w:val="24"/>
                <w:szCs w:val="24"/>
                <w:lang w:val="en-US" w:eastAsia="zh-CN"/>
              </w:rPr>
              <w:t>或梅州市内其他医院采购价低于采购人执行的价格时，投标人须主动告知采购人并按最低价同步下调价格，且下调后的价格均可在“新招采子系统”或政府主管部门规定的其他平台进行交易（不作医疗器械管理的除外）。</w:t>
            </w:r>
          </w:p>
          <w:p w14:paraId="00B423D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在设备使用期内，若对应检验收费价格下调，则所需的试剂、耗材需进行等比例下调。在此期间，如生产厂家对配套专机专用试剂、耗材进行升级或更换规格型号，升级或更换后的产品供应价格应不高于此次投标承诺价格及产品升级前所供应价格，调整后的价格必须能通过“新招采子系统”或政府主管部门规定的其他交易平台进行交易（不作医疗器械管理的除外）。</w:t>
            </w:r>
          </w:p>
          <w:p w14:paraId="01995270">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⑤不得限制医院对试剂、耗材规格、型号的选择，也不得规定每月、每季度、每年的采购数量。</w:t>
            </w:r>
          </w:p>
          <w:p w14:paraId="384D112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⑥若投标人在投标过程中未能完整申报所投设备开展检验项目所需的全部试剂与耗材（包括包装规格及型号等），导致无法满足医院多元化的使用需求，则后续增加的产品其供应价格不得高于本次投标同类产品的承诺价格，亦不得高于增加前同类产品的供应价格。新增产品及价格须能够通过“新招采子系统”或政府主管部门认可的其他交易平台进行交易（依法不作医疗器械管理的产品除外），且不得因此增加医院的试剂及耗材采购成本。</w:t>
            </w:r>
          </w:p>
          <w:p w14:paraId="23D520F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eastAsia="zh-CN"/>
              </w:rPr>
              <w:t>针对上述所有承诺，</w:t>
            </w:r>
            <w:r>
              <w:rPr>
                <w:rFonts w:hint="eastAsia" w:ascii="仿宋" w:hAnsi="仿宋" w:eastAsia="仿宋" w:cs="仿宋"/>
                <w:sz w:val="24"/>
                <w:szCs w:val="24"/>
                <w:lang w:val="en-US" w:eastAsia="zh-CN"/>
              </w:rPr>
              <w:t>投标人投标时，须提供由试剂、耗材生产厂家及投标人共同出具加盖公章的承诺函进行响应，</w:t>
            </w:r>
            <w:r>
              <w:rPr>
                <w:rFonts w:hint="eastAsia" w:ascii="仿宋" w:hAnsi="仿宋" w:eastAsia="仿宋" w:cs="仿宋"/>
                <w:sz w:val="24"/>
                <w:szCs w:val="24"/>
              </w:rPr>
              <w:t>承诺函格式可由投标人自行拟定。</w:t>
            </w:r>
          </w:p>
        </w:tc>
      </w:tr>
      <w:tr w14:paraId="03870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48CBD25">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45AE62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4B7A279">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3、耗材供应保障</w:t>
            </w:r>
          </w:p>
          <w:p w14:paraId="0A5FDD1E">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（1）在设备使用期间，若所有试剂、耗材实际检测数量未达到投标阶段投标人所承诺的理论检测数量，投标人须依据其差额对相应试剂、耗材予以补足。</w:t>
            </w:r>
          </w:p>
          <w:p w14:paraId="4253EF87">
            <w:pPr>
              <w:ind w:left="0" w:leftChars="0" w:firstLine="0" w:firstLineChars="0"/>
              <w:rPr>
                <w:rFonts w:hint="eastAsia" w:eastAsia="仿宋_GB2312"/>
                <w:lang w:eastAsia="zh-CN"/>
              </w:rPr>
            </w:pPr>
            <w:r>
              <w:rPr>
                <w:rFonts w:hint="eastAsia" w:ascii="仿宋" w:hAnsi="仿宋" w:eastAsia="仿宋" w:cs="仿宋"/>
                <w:sz w:val="24"/>
                <w:szCs w:val="24"/>
                <w:lang w:val="en-US" w:eastAsia="zh-CN"/>
              </w:rPr>
              <w:t>（2）设备使用期间，若发生试剂或耗材供应中断，供应方须提前一个月告知采购人，并提供替代方案，替代方案不得增加医院相关成本。若供应中断超过九十天，医院有权从其他渠道采购，由此产生的差价由中标方承担。</w:t>
            </w:r>
          </w:p>
          <w:p w14:paraId="5E243C24">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投标人投标时，须提供由试剂、耗材生产厂家及投标人共同出具加盖公章的承诺函进行响应，承诺函格式可由投标人自行拟定。</w:t>
            </w:r>
          </w:p>
        </w:tc>
      </w:tr>
      <w:tr w14:paraId="0398F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03321621">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p>
        </w:tc>
        <w:tc>
          <w:tcPr>
            <w:tcW w:w="976" w:type="dxa"/>
            <w:vAlign w:val="center"/>
          </w:tcPr>
          <w:p w14:paraId="6B24507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4DDC8D5">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4、价格佐证材料</w:t>
            </w:r>
          </w:p>
          <w:p w14:paraId="03FF0DC7">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在投标时，须提供所有检验项目对应主试剂在各省市平台公布或交易的价格截图（截图来源不少于三个平台，其中至少应包含浙江、江苏、京津冀平台中的一个），以及近半年内其他三家综合性三级甲等医院的采购发票复印件等参考资料，以进行响应。</w:t>
            </w:r>
          </w:p>
        </w:tc>
      </w:tr>
      <w:tr w14:paraId="35874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34704FE">
            <w:pPr>
              <w:keepNext w:val="0"/>
              <w:keepLines w:val="0"/>
              <w:pageBreakBefore w:val="0"/>
              <w:kinsoku/>
              <w:wordWrap/>
              <w:overflowPunct/>
              <w:topLinePunct w:val="0"/>
              <w:autoSpaceDE/>
              <w:autoSpaceDN/>
              <w:bidi w:val="0"/>
              <w:adjustRightInd/>
              <w:snapToGrid/>
              <w:ind w:left="0" w:leftChars="0" w:firstLine="0" w:firstLineChars="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74AF331">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221CA42">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5、仪器配套试剂所采用的方法学，须符合广东省公立医疗机构基本医疗服务价格条目的相关规定。（佐证材料：承诺函）</w:t>
            </w:r>
          </w:p>
        </w:tc>
      </w:tr>
      <w:tr w14:paraId="61E63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5B3152ED">
            <w:pPr>
              <w:pStyle w:val="30"/>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706D765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567175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6、除投标人自身承诺外，上述所有承诺在投标时均须同时提供试剂及耗材生产厂家出具并加盖公章的承诺函，且须承诺在转配送后，前述承诺依然有效，相关承诺函格式可由投标人自行拟定。</w:t>
            </w:r>
          </w:p>
        </w:tc>
      </w:tr>
      <w:tr w14:paraId="0EC6F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7EDB159E">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szCs w:val="24"/>
                <w:lang w:val="en-US" w:eastAsia="zh-CN"/>
              </w:rPr>
              <w:t>★</w:t>
            </w:r>
          </w:p>
        </w:tc>
        <w:tc>
          <w:tcPr>
            <w:tcW w:w="976" w:type="dxa"/>
            <w:vAlign w:val="center"/>
          </w:tcPr>
          <w:p w14:paraId="2DB3B34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233856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7、赔偿责任</w:t>
            </w:r>
          </w:p>
          <w:p w14:paraId="34AACB0D">
            <w:pPr>
              <w:ind w:left="0" w:leftChars="0" w:firstLine="494"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若中标方在中标后未能履行投标承诺，招标方有权取消其中标资格。中标方须按照投标总价（即设备金额与两年专用耗材金额之和）的两倍进行赔偿，同时招标方保留追究其进一步法律责任的权利。</w:t>
            </w:r>
            <w:r>
              <w:rPr>
                <w:rFonts w:hint="eastAsia" w:ascii="仿宋" w:hAnsi="仿宋" w:eastAsia="仿宋" w:cs="仿宋"/>
                <w:sz w:val="24"/>
                <w:szCs w:val="24"/>
              </w:rPr>
              <w:t>投标人在投标时，应出具的承诺函并加盖公章进行响应，承诺函格式可由投标人自行拟定。</w:t>
            </w:r>
          </w:p>
        </w:tc>
      </w:tr>
      <w:tr w14:paraId="33731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58FC0F1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758C43A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31744ED">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ascii="仿宋" w:hAnsi="仿宋" w:eastAsia="仿宋" w:cs="仿宋"/>
                <w:sz w:val="24"/>
                <w:szCs w:val="24"/>
                <w:lang w:eastAsia="zh-CN"/>
              </w:rPr>
              <w:t>主要配置清单：</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3288"/>
              <w:gridCol w:w="792"/>
              <w:gridCol w:w="792"/>
            </w:tblGrid>
            <w:tr w14:paraId="4FBCF1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388222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32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E9C3F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配置名称</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C469F2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3888DE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数量</w:t>
                  </w:r>
                </w:p>
              </w:tc>
            </w:tr>
            <w:tr w14:paraId="039314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FFE58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DF900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主机</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9F04E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F1CA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2F6642FD">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val="en-US" w:eastAsia="zh-CN"/>
              </w:rPr>
              <w:t>以上配置不排除遗漏的可能性，供应商应自行添加必要的配置以保证设备能正常运转。否则，影响验收后果自负。</w:t>
            </w:r>
          </w:p>
        </w:tc>
      </w:tr>
      <w:tr w14:paraId="5EA21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845" w:type="dxa"/>
          </w:tcPr>
          <w:p w14:paraId="1FF1FAF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293" w:type="dxa"/>
            <w:gridSpan w:val="2"/>
          </w:tcPr>
          <w:p w14:paraId="4E4093F0">
            <w:pPr>
              <w:pStyle w:val="30"/>
              <w:spacing w:line="400" w:lineRule="exact"/>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3D395FC8">
      <w:pPr>
        <w:snapToGrid w:val="0"/>
        <w:spacing w:line="276" w:lineRule="auto"/>
        <w:ind w:firstLine="0"/>
        <w:rPr>
          <w:rFonts w:hint="eastAsia" w:ascii="仿宋_GB2312" w:hAnsi="仿宋"/>
          <w:b/>
          <w:szCs w:val="32"/>
        </w:rPr>
      </w:pPr>
    </w:p>
    <w:p w14:paraId="29482A84">
      <w:pPr>
        <w:snapToGrid w:val="0"/>
        <w:spacing w:line="276" w:lineRule="auto"/>
        <w:ind w:firstLine="0"/>
        <w:rPr>
          <w:rFonts w:hint="eastAsia" w:ascii="仿宋_GB2312" w:hAnsi="仿宋"/>
          <w:b/>
          <w:szCs w:val="32"/>
        </w:rPr>
      </w:pPr>
    </w:p>
    <w:p w14:paraId="2150AFBB">
      <w:pPr>
        <w:snapToGrid w:val="0"/>
        <w:spacing w:line="276" w:lineRule="auto"/>
        <w:ind w:firstLine="0"/>
        <w:rPr>
          <w:rFonts w:hint="eastAsia" w:ascii="仿宋_GB2312" w:hAnsi="仿宋"/>
          <w:b/>
          <w:szCs w:val="32"/>
        </w:rPr>
      </w:pPr>
    </w:p>
    <w:p w14:paraId="32B8FB0F">
      <w:pPr>
        <w:snapToGrid w:val="0"/>
        <w:spacing w:line="276" w:lineRule="auto"/>
        <w:ind w:firstLine="0"/>
        <w:rPr>
          <w:rFonts w:hint="eastAsia" w:ascii="仿宋_GB2312" w:hAnsi="仿宋"/>
          <w:b/>
          <w:szCs w:val="32"/>
        </w:rPr>
      </w:pPr>
    </w:p>
    <w:p w14:paraId="7C19E521">
      <w:pPr>
        <w:snapToGrid w:val="0"/>
        <w:spacing w:line="276" w:lineRule="auto"/>
        <w:ind w:firstLine="0"/>
        <w:rPr>
          <w:rFonts w:hint="eastAsia" w:ascii="仿宋_GB2312" w:hAnsi="仿宋"/>
          <w:b/>
          <w:szCs w:val="32"/>
        </w:rPr>
      </w:pPr>
    </w:p>
    <w:p w14:paraId="55DA8EEC">
      <w:pPr>
        <w:snapToGrid w:val="0"/>
        <w:spacing w:line="276" w:lineRule="auto"/>
        <w:ind w:firstLine="0"/>
        <w:rPr>
          <w:rFonts w:hint="eastAsia" w:ascii="仿宋_GB2312" w:hAnsi="仿宋"/>
          <w:b/>
          <w:szCs w:val="32"/>
        </w:rPr>
      </w:pPr>
    </w:p>
    <w:p w14:paraId="63927C15">
      <w:pPr>
        <w:snapToGrid w:val="0"/>
        <w:spacing w:line="276" w:lineRule="auto"/>
        <w:ind w:firstLine="0"/>
        <w:rPr>
          <w:rFonts w:hint="eastAsia" w:ascii="仿宋_GB2312" w:hAnsi="仿宋"/>
          <w:b/>
          <w:szCs w:val="32"/>
        </w:rPr>
      </w:pPr>
    </w:p>
    <w:p w14:paraId="3420AD09">
      <w:pPr>
        <w:snapToGrid w:val="0"/>
        <w:spacing w:line="276" w:lineRule="auto"/>
        <w:ind w:firstLine="0"/>
        <w:rPr>
          <w:rFonts w:hint="eastAsia" w:ascii="仿宋_GB2312" w:hAnsi="仿宋"/>
          <w:b/>
          <w:szCs w:val="32"/>
        </w:rPr>
      </w:pPr>
    </w:p>
    <w:p w14:paraId="75253410">
      <w:pPr>
        <w:snapToGrid w:val="0"/>
        <w:spacing w:line="276" w:lineRule="auto"/>
        <w:ind w:firstLine="0"/>
        <w:rPr>
          <w:rFonts w:hint="eastAsia" w:ascii="仿宋_GB2312" w:hAnsi="仿宋"/>
          <w:b/>
          <w:szCs w:val="32"/>
        </w:rPr>
      </w:pPr>
    </w:p>
    <w:p w14:paraId="6A2E485E">
      <w:pPr>
        <w:snapToGrid w:val="0"/>
        <w:spacing w:line="276" w:lineRule="auto"/>
        <w:ind w:firstLine="0"/>
        <w:rPr>
          <w:rFonts w:hint="eastAsia" w:ascii="仿宋_GB2312" w:hAnsi="仿宋"/>
          <w:b/>
          <w:szCs w:val="32"/>
        </w:rPr>
      </w:pPr>
    </w:p>
    <w:p w14:paraId="0A060951">
      <w:pPr>
        <w:snapToGrid w:val="0"/>
        <w:spacing w:line="276" w:lineRule="auto"/>
        <w:ind w:firstLine="0"/>
        <w:rPr>
          <w:rFonts w:hint="eastAsia" w:ascii="仿宋_GB2312" w:hAnsi="仿宋"/>
          <w:b/>
          <w:szCs w:val="32"/>
        </w:rPr>
      </w:pPr>
    </w:p>
    <w:p w14:paraId="1A9772E0">
      <w:pPr>
        <w:snapToGrid w:val="0"/>
        <w:spacing w:line="276" w:lineRule="auto"/>
        <w:ind w:firstLine="0"/>
        <w:rPr>
          <w:rFonts w:hint="eastAsia" w:ascii="仿宋_GB2312" w:hAnsi="仿宋"/>
          <w:b/>
          <w:szCs w:val="32"/>
        </w:rPr>
      </w:pPr>
    </w:p>
    <w:p w14:paraId="7D121418">
      <w:pPr>
        <w:pStyle w:val="2"/>
        <w:rPr>
          <w:rFonts w:hint="eastAsia" w:ascii="仿宋_GB2312" w:hAnsi="仿宋"/>
          <w:b/>
          <w:szCs w:val="32"/>
        </w:rPr>
      </w:pPr>
    </w:p>
    <w:p w14:paraId="3E114305">
      <w:pPr>
        <w:pStyle w:val="2"/>
        <w:rPr>
          <w:rFonts w:hint="eastAsia" w:ascii="仿宋_GB2312" w:hAnsi="仿宋"/>
          <w:b/>
          <w:szCs w:val="32"/>
        </w:rPr>
      </w:pPr>
    </w:p>
    <w:p w14:paraId="569959F6">
      <w:pPr>
        <w:pStyle w:val="2"/>
        <w:rPr>
          <w:rFonts w:hint="eastAsia" w:ascii="仿宋_GB2312" w:hAnsi="仿宋"/>
          <w:b/>
          <w:szCs w:val="32"/>
        </w:rPr>
      </w:pPr>
    </w:p>
    <w:p w14:paraId="5A0BF67B">
      <w:pPr>
        <w:pStyle w:val="2"/>
        <w:rPr>
          <w:rFonts w:hint="eastAsia" w:ascii="仿宋_GB2312" w:hAnsi="仿宋"/>
          <w:b/>
          <w:szCs w:val="32"/>
        </w:rPr>
      </w:pPr>
    </w:p>
    <w:p w14:paraId="09CCAC81">
      <w:pPr>
        <w:snapToGrid w:val="0"/>
        <w:spacing w:line="276" w:lineRule="auto"/>
        <w:ind w:firstLine="0"/>
        <w:rPr>
          <w:rFonts w:hint="eastAsia" w:ascii="仿宋_GB2312" w:hAnsi="仿宋"/>
          <w:b/>
          <w:szCs w:val="32"/>
        </w:rPr>
      </w:pPr>
      <w:r>
        <w:rPr>
          <w:rFonts w:hint="eastAsia" w:ascii="仿宋_GB2312" w:hAnsi="仿宋"/>
          <w:b/>
          <w:szCs w:val="32"/>
        </w:rPr>
        <w:t>评审因素及对应的分值、权重：</w:t>
      </w:r>
    </w:p>
    <w:tbl>
      <w:tblPr>
        <w:tblStyle w:val="12"/>
        <w:tblW w:w="911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53"/>
        <w:gridCol w:w="2376"/>
        <w:gridCol w:w="5888"/>
      </w:tblGrid>
      <w:tr w14:paraId="42DDB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0" w:hRule="atLeast"/>
        </w:trPr>
        <w:tc>
          <w:tcPr>
            <w:tcW w:w="853" w:type="dxa"/>
            <w:noWrap w:val="0"/>
            <w:vAlign w:val="top"/>
          </w:tcPr>
          <w:p w14:paraId="31E14664">
            <w:pPr>
              <w:ind w:left="0" w:leftChars="0" w:firstLine="0" w:firstLineChars="0"/>
              <w:jc w:val="both"/>
              <w:rPr>
                <w:sz w:val="28"/>
                <w:szCs w:val="28"/>
              </w:rPr>
            </w:pPr>
            <w:r>
              <w:rPr>
                <w:sz w:val="28"/>
                <w:szCs w:val="28"/>
              </w:rPr>
              <w:t>评审因素</w:t>
            </w:r>
          </w:p>
        </w:tc>
        <w:tc>
          <w:tcPr>
            <w:tcW w:w="8264" w:type="dxa"/>
            <w:gridSpan w:val="2"/>
            <w:noWrap w:val="0"/>
            <w:vAlign w:val="top"/>
          </w:tcPr>
          <w:p w14:paraId="57103718">
            <w:pPr>
              <w:jc w:val="center"/>
              <w:rPr>
                <w:sz w:val="28"/>
                <w:szCs w:val="28"/>
              </w:rPr>
            </w:pPr>
            <w:r>
              <w:rPr>
                <w:sz w:val="28"/>
                <w:szCs w:val="28"/>
              </w:rPr>
              <w:t>评审标准</w:t>
            </w:r>
            <w:bookmarkStart w:id="1" w:name="_GoBack"/>
            <w:bookmarkEnd w:id="1"/>
          </w:p>
        </w:tc>
      </w:tr>
      <w:tr w14:paraId="0D551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3574766D">
            <w:pPr>
              <w:ind w:left="0" w:leftChars="0" w:firstLine="0" w:firstLineChars="0"/>
              <w:jc w:val="both"/>
              <w:rPr>
                <w:sz w:val="28"/>
                <w:szCs w:val="28"/>
              </w:rPr>
            </w:pPr>
            <w:r>
              <w:rPr>
                <w:sz w:val="28"/>
                <w:szCs w:val="28"/>
              </w:rPr>
              <w:t>分值构成</w:t>
            </w:r>
          </w:p>
        </w:tc>
        <w:tc>
          <w:tcPr>
            <w:tcW w:w="8264" w:type="dxa"/>
            <w:gridSpan w:val="2"/>
            <w:noWrap w:val="0"/>
            <w:vAlign w:val="top"/>
          </w:tcPr>
          <w:p w14:paraId="100DD558">
            <w:pPr>
              <w:ind w:left="0" w:leftChars="0" w:firstLine="0" w:firstLineChars="0"/>
              <w:rPr>
                <w:sz w:val="28"/>
                <w:szCs w:val="28"/>
              </w:rPr>
            </w:pPr>
            <w:r>
              <w:rPr>
                <w:rFonts w:hint="eastAsia"/>
                <w:sz w:val="28"/>
                <w:szCs w:val="28"/>
                <w:lang w:val="en-US" w:eastAsia="zh-CN"/>
              </w:rPr>
              <w:t>商务</w:t>
            </w:r>
            <w:r>
              <w:rPr>
                <w:sz w:val="28"/>
                <w:szCs w:val="28"/>
              </w:rPr>
              <w:t>部分</w:t>
            </w:r>
            <w:r>
              <w:rPr>
                <w:rFonts w:hint="eastAsia"/>
                <w:sz w:val="28"/>
                <w:szCs w:val="28"/>
                <w:lang w:val="en-US" w:eastAsia="zh-CN"/>
              </w:rPr>
              <w:t>7.0</w:t>
            </w:r>
            <w:r>
              <w:rPr>
                <w:sz w:val="28"/>
                <w:szCs w:val="28"/>
              </w:rPr>
              <w:t>分</w:t>
            </w:r>
          </w:p>
          <w:p w14:paraId="209263A8">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63.0</w:t>
            </w:r>
            <w:r>
              <w:rPr>
                <w:sz w:val="28"/>
                <w:szCs w:val="28"/>
              </w:rPr>
              <w:t>分</w:t>
            </w:r>
          </w:p>
          <w:p w14:paraId="1B0D6B20">
            <w:pPr>
              <w:ind w:left="0" w:leftChars="0" w:firstLine="0" w:firstLineChars="0"/>
              <w:rPr>
                <w:sz w:val="28"/>
                <w:szCs w:val="28"/>
              </w:rPr>
            </w:pPr>
            <w:r>
              <w:rPr>
                <w:sz w:val="28"/>
                <w:szCs w:val="28"/>
              </w:rPr>
              <w:t>报价得分</w:t>
            </w:r>
            <w:r>
              <w:rPr>
                <w:rFonts w:hint="eastAsia"/>
                <w:sz w:val="28"/>
                <w:szCs w:val="28"/>
                <w:lang w:val="en-US" w:eastAsia="zh-CN"/>
              </w:rPr>
              <w:t>3</w:t>
            </w:r>
            <w:r>
              <w:rPr>
                <w:sz w:val="28"/>
                <w:szCs w:val="28"/>
              </w:rPr>
              <w:t>0.0分</w:t>
            </w:r>
          </w:p>
        </w:tc>
      </w:tr>
      <w:tr w14:paraId="6CB2A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13831E89">
            <w:pPr>
              <w:ind w:left="0" w:leftChars="0" w:firstLine="0" w:firstLineChars="0"/>
              <w:jc w:val="both"/>
              <w:rPr>
                <w:sz w:val="28"/>
                <w:szCs w:val="28"/>
              </w:rPr>
            </w:pPr>
            <w:r>
              <w:rPr>
                <w:sz w:val="28"/>
                <w:szCs w:val="28"/>
              </w:rPr>
              <w:t>技术部分</w:t>
            </w:r>
          </w:p>
        </w:tc>
        <w:tc>
          <w:tcPr>
            <w:tcW w:w="2376" w:type="dxa"/>
            <w:noWrap w:val="0"/>
            <w:vAlign w:val="top"/>
          </w:tcPr>
          <w:p w14:paraId="1A7484D8">
            <w:pPr>
              <w:ind w:left="0" w:leftChars="0" w:firstLine="0" w:firstLineChars="0"/>
              <w:jc w:val="left"/>
              <w:rPr>
                <w:color w:val="auto"/>
                <w:sz w:val="28"/>
                <w:szCs w:val="28"/>
              </w:rPr>
            </w:pPr>
            <w:r>
              <w:rPr>
                <w:color w:val="auto"/>
                <w:sz w:val="28"/>
                <w:szCs w:val="28"/>
              </w:rPr>
              <w:t>重要技术条款响应  (</w:t>
            </w:r>
            <w:r>
              <w:rPr>
                <w:rFonts w:hint="eastAsia"/>
                <w:color w:val="auto"/>
                <w:sz w:val="28"/>
                <w:szCs w:val="28"/>
                <w:lang w:val="en-US" w:eastAsia="zh-CN"/>
              </w:rPr>
              <w:t>36</w:t>
            </w:r>
            <w:r>
              <w:rPr>
                <w:color w:val="auto"/>
                <w:sz w:val="28"/>
                <w:szCs w:val="28"/>
              </w:rPr>
              <w:t>分)</w:t>
            </w:r>
          </w:p>
        </w:tc>
        <w:tc>
          <w:tcPr>
            <w:tcW w:w="5888" w:type="dxa"/>
            <w:noWrap w:val="0"/>
            <w:vAlign w:val="top"/>
          </w:tcPr>
          <w:p w14:paraId="1301AEFD">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color w:val="auto"/>
                <w:sz w:val="28"/>
                <w:szCs w:val="28"/>
              </w:rPr>
            </w:pPr>
            <w:r>
              <w:rPr>
                <w:color w:val="auto"/>
                <w:sz w:val="28"/>
                <w:szCs w:val="28"/>
              </w:rPr>
              <w:t>根据各投标人对招标文件技术要求中“▲”条款</w:t>
            </w:r>
            <w:r>
              <w:rPr>
                <w:rFonts w:hint="eastAsia"/>
                <w:color w:val="auto"/>
                <w:sz w:val="28"/>
                <w:szCs w:val="28"/>
                <w:lang w:eastAsia="zh-CN"/>
              </w:rPr>
              <w:t>（共</w:t>
            </w:r>
            <w:r>
              <w:rPr>
                <w:rFonts w:hint="eastAsia"/>
                <w:color w:val="auto"/>
                <w:sz w:val="28"/>
                <w:szCs w:val="28"/>
                <w:lang w:val="en-US" w:eastAsia="zh-CN"/>
              </w:rPr>
              <w:t>6条</w:t>
            </w:r>
            <w:r>
              <w:rPr>
                <w:rFonts w:hint="eastAsia"/>
                <w:color w:val="auto"/>
                <w:sz w:val="28"/>
                <w:szCs w:val="28"/>
                <w:lang w:eastAsia="zh-CN"/>
              </w:rPr>
              <w:t>）</w:t>
            </w:r>
            <w:r>
              <w:rPr>
                <w:color w:val="auto"/>
                <w:sz w:val="28"/>
                <w:szCs w:val="28"/>
              </w:rPr>
              <w:t>的响应程度进行评分：全部响应得</w:t>
            </w:r>
            <w:r>
              <w:rPr>
                <w:rFonts w:hint="eastAsia"/>
                <w:color w:val="auto"/>
                <w:sz w:val="28"/>
                <w:szCs w:val="28"/>
                <w:lang w:val="en-US" w:eastAsia="zh-CN"/>
              </w:rPr>
              <w:t>36</w:t>
            </w:r>
            <w:r>
              <w:rPr>
                <w:color w:val="auto"/>
                <w:sz w:val="28"/>
                <w:szCs w:val="28"/>
              </w:rPr>
              <w:t>分，每有一项不响应的扣</w:t>
            </w:r>
            <w:r>
              <w:rPr>
                <w:rFonts w:hint="eastAsia"/>
                <w:color w:val="auto"/>
                <w:sz w:val="28"/>
                <w:szCs w:val="28"/>
                <w:lang w:val="en-US" w:eastAsia="zh-CN"/>
              </w:rPr>
              <w:t>6</w:t>
            </w:r>
            <w:r>
              <w:rPr>
                <w:color w:val="auto"/>
                <w:sz w:val="28"/>
                <w:szCs w:val="28"/>
              </w:rPr>
              <w:t xml:space="preserve">分。 </w:t>
            </w:r>
          </w:p>
          <w:p w14:paraId="1AEACA94">
            <w:pPr>
              <w:jc w:val="left"/>
              <w:rPr>
                <w:color w:val="auto"/>
                <w:sz w:val="28"/>
                <w:szCs w:val="28"/>
              </w:rPr>
            </w:pPr>
            <w:r>
              <w:rPr>
                <w:sz w:val="28"/>
                <w:szCs w:val="28"/>
              </w:rPr>
              <w:t>【注：</w:t>
            </w:r>
            <w:r>
              <w:rPr>
                <w:rFonts w:hint="eastAsia"/>
                <w:sz w:val="28"/>
                <w:szCs w:val="28"/>
              </w:rPr>
              <w:t>供应商</w:t>
            </w:r>
            <w:r>
              <w:rPr>
                <w:sz w:val="28"/>
                <w:szCs w:val="28"/>
              </w:rPr>
              <w:t>应对重要技术条款逐条进行响应，并提供证明材料。如采购需求中有明确要求提供证明材料的，则以采购需求要求的为准；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08810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0032F72E">
            <w:pPr>
              <w:jc w:val="center"/>
              <w:rPr>
                <w:sz w:val="28"/>
                <w:szCs w:val="28"/>
              </w:rPr>
            </w:pPr>
          </w:p>
        </w:tc>
        <w:tc>
          <w:tcPr>
            <w:tcW w:w="2376" w:type="dxa"/>
            <w:noWrap w:val="0"/>
            <w:vAlign w:val="top"/>
          </w:tcPr>
          <w:p w14:paraId="38D56312">
            <w:pPr>
              <w:ind w:left="0" w:leftChars="0" w:firstLine="0" w:firstLineChars="0"/>
              <w:jc w:val="left"/>
              <w:rPr>
                <w:color w:val="auto"/>
                <w:sz w:val="28"/>
                <w:szCs w:val="28"/>
              </w:rPr>
            </w:pPr>
            <w:r>
              <w:rPr>
                <w:color w:val="auto"/>
                <w:sz w:val="28"/>
                <w:szCs w:val="28"/>
              </w:rPr>
              <w:t>一般技术条款响应 (</w:t>
            </w:r>
            <w:r>
              <w:rPr>
                <w:rFonts w:hint="eastAsia"/>
                <w:color w:val="auto"/>
                <w:sz w:val="28"/>
                <w:szCs w:val="28"/>
                <w:lang w:val="en-US" w:eastAsia="zh-CN"/>
              </w:rPr>
              <w:t>27</w:t>
            </w:r>
            <w:r>
              <w:rPr>
                <w:color w:val="auto"/>
                <w:sz w:val="28"/>
                <w:szCs w:val="28"/>
              </w:rPr>
              <w:t>分)</w:t>
            </w:r>
          </w:p>
        </w:tc>
        <w:tc>
          <w:tcPr>
            <w:tcW w:w="5888" w:type="dxa"/>
            <w:noWrap w:val="0"/>
            <w:vAlign w:val="top"/>
          </w:tcPr>
          <w:p w14:paraId="29FDD5EF">
            <w:pPr>
              <w:jc w:val="left"/>
              <w:rPr>
                <w:rFonts w:hint="eastAsia" w:eastAsia="仿宋_GB2312"/>
                <w:color w:val="auto"/>
                <w:sz w:val="28"/>
                <w:szCs w:val="28"/>
                <w:lang w:eastAsia="zh-CN"/>
              </w:rPr>
            </w:pPr>
            <w:r>
              <w:rPr>
                <w:color w:val="auto"/>
                <w:sz w:val="28"/>
                <w:szCs w:val="28"/>
              </w:rPr>
              <w:t>所投产品完全满足或优于用户需求书中不带▲号的一般技术参数要求的</w:t>
            </w:r>
            <w:r>
              <w:rPr>
                <w:rFonts w:hint="eastAsia"/>
                <w:color w:val="auto"/>
                <w:sz w:val="28"/>
                <w:szCs w:val="28"/>
                <w:lang w:eastAsia="zh-CN"/>
              </w:rPr>
              <w:t>（</w:t>
            </w:r>
            <w:r>
              <w:rPr>
                <w:rFonts w:hint="eastAsia"/>
                <w:color w:val="auto"/>
                <w:sz w:val="28"/>
                <w:szCs w:val="28"/>
                <w:lang w:val="en-US" w:eastAsia="zh-CN"/>
              </w:rPr>
              <w:t>共9条</w:t>
            </w:r>
            <w:r>
              <w:rPr>
                <w:rFonts w:hint="eastAsia"/>
                <w:color w:val="auto"/>
                <w:sz w:val="28"/>
                <w:szCs w:val="28"/>
                <w:lang w:eastAsia="zh-CN"/>
              </w:rPr>
              <w:t>）</w:t>
            </w:r>
            <w:r>
              <w:rPr>
                <w:color w:val="auto"/>
                <w:sz w:val="28"/>
                <w:szCs w:val="28"/>
              </w:rPr>
              <w:t>，得</w:t>
            </w:r>
            <w:r>
              <w:rPr>
                <w:rFonts w:hint="eastAsia"/>
                <w:color w:val="auto"/>
                <w:sz w:val="28"/>
                <w:szCs w:val="28"/>
                <w:lang w:val="en-US" w:eastAsia="zh-CN"/>
              </w:rPr>
              <w:t>27</w:t>
            </w:r>
            <w:r>
              <w:rPr>
                <w:color w:val="auto"/>
                <w:sz w:val="28"/>
                <w:szCs w:val="28"/>
              </w:rPr>
              <w:t>分。</w:t>
            </w:r>
            <w:r>
              <w:rPr>
                <w:rFonts w:hint="eastAsia"/>
                <w:color w:val="auto"/>
                <w:sz w:val="28"/>
                <w:szCs w:val="28"/>
                <w:lang w:val="en-US" w:eastAsia="zh-CN"/>
              </w:rPr>
              <w:t>每</w:t>
            </w:r>
            <w:r>
              <w:rPr>
                <w:color w:val="auto"/>
                <w:sz w:val="28"/>
                <w:szCs w:val="28"/>
              </w:rPr>
              <w:t>1项不带▲号的技术参数负偏离，</w:t>
            </w:r>
            <w:r>
              <w:rPr>
                <w:rFonts w:hint="eastAsia"/>
                <w:color w:val="auto"/>
                <w:sz w:val="28"/>
                <w:szCs w:val="28"/>
                <w:lang w:val="en-US" w:eastAsia="zh-CN"/>
              </w:rPr>
              <w:t>扣3</w:t>
            </w:r>
            <w:r>
              <w:rPr>
                <w:color w:val="auto"/>
                <w:sz w:val="28"/>
                <w:szCs w:val="28"/>
              </w:rPr>
              <w:t>分</w:t>
            </w:r>
            <w:r>
              <w:rPr>
                <w:rFonts w:hint="eastAsia"/>
                <w:color w:val="auto"/>
                <w:sz w:val="28"/>
                <w:szCs w:val="28"/>
                <w:highlight w:val="none"/>
                <w:lang w:eastAsia="zh-CN"/>
              </w:rPr>
              <w:t>。</w:t>
            </w:r>
          </w:p>
          <w:p w14:paraId="03930616">
            <w:pPr>
              <w:jc w:val="left"/>
              <w:rPr>
                <w:color w:val="auto"/>
              </w:rPr>
            </w:pPr>
            <w:r>
              <w:rPr>
                <w:sz w:val="28"/>
                <w:szCs w:val="28"/>
              </w:rPr>
              <w:t>【注：</w:t>
            </w:r>
            <w:r>
              <w:rPr>
                <w:rFonts w:hint="eastAsia"/>
                <w:sz w:val="28"/>
                <w:szCs w:val="28"/>
              </w:rPr>
              <w:t>供应商</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w:t>
            </w:r>
            <w:r>
              <w:rPr>
                <w:rFonts w:hint="eastAsia"/>
                <w:b/>
                <w:bCs/>
                <w:sz w:val="28"/>
                <w:szCs w:val="28"/>
              </w:rPr>
              <w:t>一般</w:t>
            </w:r>
            <w:r>
              <w:rPr>
                <w:b/>
                <w:bCs/>
                <w:sz w:val="28"/>
                <w:szCs w:val="28"/>
              </w:rPr>
              <w:t>技术条款将视为负偏离。</w:t>
            </w:r>
            <w:r>
              <w:rPr>
                <w:sz w:val="28"/>
                <w:szCs w:val="28"/>
              </w:rPr>
              <w:t>】</w:t>
            </w:r>
          </w:p>
        </w:tc>
      </w:tr>
      <w:tr w14:paraId="59E57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restart"/>
            <w:noWrap w:val="0"/>
            <w:vAlign w:val="top"/>
          </w:tcPr>
          <w:p w14:paraId="644DB3A3">
            <w:pPr>
              <w:ind w:left="0" w:leftChars="0" w:firstLine="0" w:firstLineChars="0"/>
              <w:jc w:val="both"/>
              <w:rPr>
                <w:sz w:val="28"/>
                <w:szCs w:val="28"/>
              </w:rPr>
            </w:pPr>
            <w:r>
              <w:rPr>
                <w:rFonts w:hint="eastAsia"/>
                <w:sz w:val="28"/>
                <w:szCs w:val="28"/>
                <w:lang w:val="en-US" w:eastAsia="zh-CN"/>
              </w:rPr>
              <w:t>商务</w:t>
            </w:r>
            <w:r>
              <w:rPr>
                <w:sz w:val="28"/>
                <w:szCs w:val="28"/>
              </w:rPr>
              <w:t>部分</w:t>
            </w:r>
          </w:p>
        </w:tc>
        <w:tc>
          <w:tcPr>
            <w:tcW w:w="2376" w:type="dxa"/>
            <w:noWrap w:val="0"/>
            <w:vAlign w:val="top"/>
          </w:tcPr>
          <w:p w14:paraId="59CA4CB1">
            <w:p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售后服务方案 (</w:t>
            </w:r>
            <w:r>
              <w:rPr>
                <w:rFonts w:hint="eastAsia"/>
                <w:sz w:val="28"/>
                <w:szCs w:val="28"/>
                <w:highlight w:val="none"/>
                <w:lang w:val="en-US" w:eastAsia="zh-CN"/>
              </w:rPr>
              <w:t>5</w:t>
            </w:r>
            <w:r>
              <w:rPr>
                <w:sz w:val="28"/>
                <w:szCs w:val="28"/>
              </w:rPr>
              <w:t>分)，（等次分值选择：0;</w:t>
            </w:r>
            <w:r>
              <w:rPr>
                <w:rFonts w:hint="eastAsia"/>
                <w:sz w:val="28"/>
                <w:szCs w:val="28"/>
                <w:lang w:val="en-US" w:eastAsia="zh-CN"/>
              </w:rPr>
              <w:t>1</w:t>
            </w:r>
            <w:r>
              <w:rPr>
                <w:sz w:val="28"/>
                <w:szCs w:val="28"/>
              </w:rPr>
              <w:t>;</w:t>
            </w:r>
            <w:r>
              <w:rPr>
                <w:rFonts w:hint="eastAsia"/>
                <w:sz w:val="28"/>
                <w:szCs w:val="28"/>
                <w:lang w:val="en-US" w:eastAsia="zh-CN"/>
              </w:rPr>
              <w:t>3</w:t>
            </w:r>
            <w:r>
              <w:rPr>
                <w:sz w:val="28"/>
                <w:szCs w:val="28"/>
              </w:rPr>
              <w:t>;</w:t>
            </w:r>
            <w:r>
              <w:rPr>
                <w:rFonts w:hint="eastAsia"/>
                <w:sz w:val="28"/>
                <w:szCs w:val="28"/>
                <w:lang w:val="en-US" w:eastAsia="zh-CN"/>
              </w:rPr>
              <w:t>5</w:t>
            </w:r>
            <w:r>
              <w:rPr>
                <w:sz w:val="28"/>
                <w:szCs w:val="28"/>
              </w:rPr>
              <w:t>）</w:t>
            </w:r>
          </w:p>
        </w:tc>
        <w:tc>
          <w:tcPr>
            <w:tcW w:w="5888" w:type="dxa"/>
            <w:noWrap w:val="0"/>
            <w:vAlign w:val="top"/>
          </w:tcPr>
          <w:p w14:paraId="3B2D6E77">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sz w:val="28"/>
                <w:szCs w:val="28"/>
              </w:rPr>
            </w:pPr>
            <w:r>
              <w:rPr>
                <w:sz w:val="28"/>
                <w:szCs w:val="28"/>
              </w:rPr>
              <w:t xml:space="preserve">根据投标人针对本项目所提供的售后服务方案，方案内容包括但不限于售后服务人员（专人跟进、服务沟通等）的安排、售后服务计划安排、响应时间的及时性、提供备品备件服务等内容进行评审： </w:t>
            </w:r>
          </w:p>
          <w:p w14:paraId="23176DE7">
            <w:pPr>
              <w:numPr>
                <w:ilvl w:val="0"/>
                <w:numId w:val="0"/>
              </w:numPr>
              <w:jc w:val="left"/>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投标人所提供的质保期内和质保期后售后服务方案内容详细，有完整合理的部署规划，有安排专人负责响应采购人的维修要求及服务过程中的沟通，有专业的售后服务人员，对需维修的设备有完整可行操作的维修处理方法，对日常维修和应急情况响应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6</w:t>
            </w:r>
            <w:r>
              <w:rPr>
                <w:sz w:val="28"/>
                <w:szCs w:val="28"/>
              </w:rPr>
              <w:t>小时，</w:t>
            </w:r>
            <w:r>
              <w:rPr>
                <w:rFonts w:hint="eastAsia"/>
                <w:sz w:val="28"/>
                <w:szCs w:val="28"/>
                <w:lang w:val="en-US" w:eastAsia="zh-CN"/>
              </w:rPr>
              <w:t>优于或</w:t>
            </w:r>
            <w:r>
              <w:rPr>
                <w:sz w:val="28"/>
                <w:szCs w:val="28"/>
              </w:rPr>
              <w:t>完全满足项目要求的得</w:t>
            </w:r>
            <w:r>
              <w:rPr>
                <w:rFonts w:hint="eastAsia"/>
                <w:sz w:val="28"/>
                <w:szCs w:val="28"/>
                <w:lang w:val="en-US" w:eastAsia="zh-CN"/>
              </w:rPr>
              <w:t>5</w:t>
            </w:r>
            <w:r>
              <w:rPr>
                <w:sz w:val="28"/>
                <w:szCs w:val="28"/>
              </w:rPr>
              <w:t>分；</w:t>
            </w:r>
          </w:p>
          <w:p w14:paraId="08F254A4">
            <w:pPr>
              <w:numPr>
                <w:ilvl w:val="0"/>
                <w:numId w:val="0"/>
              </w:numPr>
              <w:ind w:leftChars="0"/>
              <w:jc w:val="left"/>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投标人所提供的质保期内售后服务方案内容完整，有基本的部署规划，有安排专人负责响应采购人的维修要求及服务过程中的沟通，有专业的售后服务人员，对需维修的设备有基础保底操作的维修处理方法，对日常维修和应急情况响应不够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12</w:t>
            </w:r>
            <w:r>
              <w:rPr>
                <w:sz w:val="28"/>
                <w:szCs w:val="28"/>
              </w:rPr>
              <w:t>小时，</w:t>
            </w:r>
            <w:r>
              <w:rPr>
                <w:rFonts w:hint="eastAsia"/>
                <w:sz w:val="28"/>
                <w:szCs w:val="28"/>
                <w:lang w:eastAsia="zh-CN"/>
              </w:rPr>
              <w:t>基本</w:t>
            </w:r>
            <w:r>
              <w:rPr>
                <w:sz w:val="28"/>
                <w:szCs w:val="28"/>
              </w:rPr>
              <w:t>满足项目要求的得</w:t>
            </w:r>
            <w:r>
              <w:rPr>
                <w:rFonts w:hint="eastAsia"/>
                <w:sz w:val="28"/>
                <w:szCs w:val="28"/>
                <w:lang w:val="en-US" w:eastAsia="zh-CN"/>
              </w:rPr>
              <w:t>3</w:t>
            </w:r>
            <w:r>
              <w:rPr>
                <w:sz w:val="28"/>
                <w:szCs w:val="28"/>
              </w:rPr>
              <w:t>分；</w:t>
            </w:r>
          </w:p>
          <w:p w14:paraId="6CFBFE7D">
            <w:pPr>
              <w:numPr>
                <w:ilvl w:val="0"/>
                <w:numId w:val="0"/>
              </w:numPr>
              <w:ind w:leftChars="0"/>
              <w:jc w:val="left"/>
              <w:rPr>
                <w:sz w:val="28"/>
                <w:szCs w:val="28"/>
              </w:rPr>
            </w:pPr>
            <w:r>
              <w:rPr>
                <w:sz w:val="28"/>
                <w:szCs w:val="28"/>
              </w:rPr>
              <w:t>（3）投标人只提供了简单的售后服务方案，维修服务安排无法满足项目要求，</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24</w:t>
            </w:r>
            <w:r>
              <w:rPr>
                <w:sz w:val="28"/>
                <w:szCs w:val="28"/>
              </w:rPr>
              <w:t>小时</w:t>
            </w:r>
            <w:r>
              <w:rPr>
                <w:rFonts w:hint="eastAsia"/>
                <w:sz w:val="28"/>
                <w:szCs w:val="28"/>
                <w:lang w:eastAsia="zh-CN"/>
              </w:rPr>
              <w:t>，</w:t>
            </w:r>
            <w:r>
              <w:rPr>
                <w:sz w:val="28"/>
                <w:szCs w:val="28"/>
              </w:rPr>
              <w:t>不能满足项目要求的得</w:t>
            </w:r>
            <w:r>
              <w:rPr>
                <w:rFonts w:hint="eastAsia"/>
                <w:sz w:val="28"/>
                <w:szCs w:val="28"/>
                <w:lang w:val="en-US" w:eastAsia="zh-CN"/>
              </w:rPr>
              <w:t>1</w:t>
            </w:r>
            <w:r>
              <w:rPr>
                <w:sz w:val="28"/>
                <w:szCs w:val="28"/>
              </w:rPr>
              <w:t>分；</w:t>
            </w:r>
          </w:p>
          <w:p w14:paraId="2ECED8AB">
            <w:pPr>
              <w:numPr>
                <w:ilvl w:val="0"/>
                <w:numId w:val="0"/>
              </w:numPr>
              <w:ind w:left="0" w:leftChars="0" w:firstLine="0" w:firstLineChars="0"/>
              <w:jc w:val="left"/>
              <w:rPr>
                <w:rFonts w:hint="eastAsia" w:ascii="Times New Roman" w:hAnsi="Times New Roman" w:eastAsia="仿宋_GB2312" w:cs="Times New Roman"/>
                <w:kern w:val="2"/>
                <w:sz w:val="28"/>
                <w:szCs w:val="28"/>
                <w:lang w:val="en-US" w:eastAsia="zh-CN" w:bidi="ar-SA"/>
              </w:rPr>
            </w:pPr>
            <w:r>
              <w:rPr>
                <w:sz w:val="28"/>
                <w:szCs w:val="28"/>
              </w:rPr>
              <w:t>（4）不提供的不得分。</w:t>
            </w:r>
          </w:p>
        </w:tc>
      </w:tr>
      <w:tr w14:paraId="568B2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vMerge w:val="continue"/>
            <w:noWrap w:val="0"/>
            <w:vAlign w:val="top"/>
          </w:tcPr>
          <w:p w14:paraId="097BF4DE">
            <w:pPr>
              <w:rPr>
                <w:sz w:val="28"/>
                <w:szCs w:val="28"/>
              </w:rPr>
            </w:pPr>
          </w:p>
        </w:tc>
        <w:tc>
          <w:tcPr>
            <w:tcW w:w="2376" w:type="dxa"/>
            <w:noWrap w:val="0"/>
            <w:vAlign w:val="top"/>
          </w:tcPr>
          <w:p w14:paraId="2DF53128">
            <w:pPr>
              <w:ind w:left="0" w:leftChars="0" w:firstLine="0" w:firstLineChars="0"/>
              <w:jc w:val="left"/>
              <w:rPr>
                <w:sz w:val="28"/>
                <w:szCs w:val="28"/>
              </w:rPr>
            </w:pPr>
            <w:r>
              <w:rPr>
                <w:sz w:val="28"/>
                <w:szCs w:val="28"/>
              </w:rPr>
              <w:t>同类项目服务经验情况 (</w:t>
            </w:r>
            <w:r>
              <w:rPr>
                <w:rFonts w:hint="eastAsia"/>
                <w:sz w:val="28"/>
                <w:szCs w:val="28"/>
                <w:lang w:val="en-US" w:eastAsia="zh-CN"/>
              </w:rPr>
              <w:t>2</w:t>
            </w:r>
            <w:r>
              <w:rPr>
                <w:sz w:val="28"/>
                <w:szCs w:val="28"/>
              </w:rPr>
              <w:t>分)</w:t>
            </w:r>
          </w:p>
        </w:tc>
        <w:tc>
          <w:tcPr>
            <w:tcW w:w="5888" w:type="dxa"/>
            <w:shd w:val="clear" w:color="auto" w:fill="auto"/>
            <w:noWrap w:val="0"/>
            <w:vAlign w:val="top"/>
          </w:tcPr>
          <w:p w14:paraId="72005061">
            <w:pPr>
              <w:ind w:firstLine="0"/>
              <w:rPr>
                <w:sz w:val="28"/>
                <w:szCs w:val="28"/>
              </w:rPr>
            </w:pPr>
            <w:r>
              <w:rPr>
                <w:sz w:val="28"/>
                <w:szCs w:val="28"/>
              </w:rPr>
              <w:t>自202</w:t>
            </w:r>
            <w:r>
              <w:rPr>
                <w:rFonts w:hint="eastAsia"/>
                <w:sz w:val="28"/>
                <w:szCs w:val="28"/>
                <w:lang w:val="en-US" w:eastAsia="zh-CN"/>
              </w:rPr>
              <w:t>4</w:t>
            </w:r>
            <w:r>
              <w:rPr>
                <w:sz w:val="28"/>
                <w:szCs w:val="28"/>
              </w:rPr>
              <w:t>年1月1日至递交</w:t>
            </w:r>
            <w:r>
              <w:rPr>
                <w:rFonts w:hint="eastAsia"/>
                <w:sz w:val="28"/>
                <w:szCs w:val="28"/>
                <w:lang w:val="en-US" w:eastAsia="zh-CN"/>
              </w:rPr>
              <w:t>响应</w:t>
            </w:r>
            <w:r>
              <w:rPr>
                <w:sz w:val="28"/>
                <w:szCs w:val="28"/>
              </w:rPr>
              <w:t>文件截止时间止（以合同签订时间为准），</w:t>
            </w:r>
            <w:r>
              <w:rPr>
                <w:rFonts w:hint="eastAsia"/>
                <w:sz w:val="28"/>
                <w:szCs w:val="28"/>
                <w:lang w:val="en-US" w:eastAsia="zh-CN"/>
              </w:rPr>
              <w:t>供应商</w:t>
            </w:r>
            <w:r>
              <w:rPr>
                <w:sz w:val="28"/>
                <w:szCs w:val="28"/>
              </w:rPr>
              <w:t>承接过</w:t>
            </w:r>
            <w:r>
              <w:rPr>
                <w:rFonts w:hint="eastAsia"/>
                <w:sz w:val="28"/>
                <w:szCs w:val="28"/>
                <w:lang w:val="en-US" w:eastAsia="zh-CN"/>
              </w:rPr>
              <w:t>钙卫蛋白定量检测仪类似</w:t>
            </w:r>
            <w:r>
              <w:rPr>
                <w:sz w:val="28"/>
                <w:szCs w:val="28"/>
              </w:rPr>
              <w:t>项目，每提供1个业绩，得</w:t>
            </w:r>
            <w:r>
              <w:rPr>
                <w:rFonts w:hint="eastAsia"/>
                <w:sz w:val="28"/>
                <w:szCs w:val="28"/>
                <w:lang w:val="en-US" w:eastAsia="zh-CN"/>
              </w:rPr>
              <w:t>1</w:t>
            </w:r>
            <w:r>
              <w:rPr>
                <w:sz w:val="28"/>
                <w:szCs w:val="28"/>
              </w:rPr>
              <w:t>分，最高得</w:t>
            </w:r>
            <w:r>
              <w:rPr>
                <w:rFonts w:hint="eastAsia"/>
                <w:sz w:val="28"/>
                <w:szCs w:val="28"/>
                <w:lang w:val="en-US" w:eastAsia="zh-CN"/>
              </w:rPr>
              <w:t>2</w:t>
            </w:r>
            <w:r>
              <w:rPr>
                <w:sz w:val="28"/>
                <w:szCs w:val="28"/>
              </w:rPr>
              <w:t>分 。</w:t>
            </w:r>
          </w:p>
          <w:p w14:paraId="5C9BAD70">
            <w:pPr>
              <w:ind w:firstLine="0" w:firstLineChars="0"/>
              <w:rPr>
                <w:rFonts w:hint="eastAsia" w:ascii="Times New Roman" w:hAnsi="Times New Roman" w:eastAsia="仿宋_GB2312" w:cs="Times New Roman"/>
                <w:kern w:val="2"/>
                <w:sz w:val="28"/>
                <w:szCs w:val="28"/>
                <w:lang w:val="en-US" w:eastAsia="zh-CN" w:bidi="ar-SA"/>
              </w:rPr>
            </w:pPr>
            <w:r>
              <w:rPr>
                <w:sz w:val="28"/>
                <w:szCs w:val="28"/>
              </w:rPr>
              <w:t>【注：1.以签订合同的时间为准（分支机构的，总公司（总所）业绩可纳入评审）；2.须提供业绩合同关键页（须体现项目名称、合同采购内容、签订时间、双方落款盖章）有效证明材料</w:t>
            </w:r>
            <w:r>
              <w:rPr>
                <w:rFonts w:hint="eastAsia"/>
                <w:sz w:val="28"/>
                <w:szCs w:val="28"/>
                <w:lang w:val="en-US" w:eastAsia="zh-CN"/>
              </w:rPr>
              <w:t>及对应发票</w:t>
            </w:r>
            <w:r>
              <w:rPr>
                <w:sz w:val="28"/>
                <w:szCs w:val="28"/>
              </w:rPr>
              <w:t>复印件并加盖公章。 3.同一客户不累计得分。】</w:t>
            </w:r>
          </w:p>
        </w:tc>
      </w:tr>
      <w:tr w14:paraId="2E9D4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 w:type="dxa"/>
            <w:noWrap w:val="0"/>
            <w:vAlign w:val="top"/>
          </w:tcPr>
          <w:p w14:paraId="1914AE50">
            <w:pPr>
              <w:ind w:left="0" w:leftChars="0" w:firstLine="0" w:firstLineChars="0"/>
              <w:jc w:val="both"/>
              <w:rPr>
                <w:sz w:val="28"/>
                <w:szCs w:val="28"/>
              </w:rPr>
            </w:pPr>
            <w:r>
              <w:rPr>
                <w:rFonts w:hint="eastAsia"/>
                <w:sz w:val="28"/>
                <w:szCs w:val="28"/>
                <w:lang w:val="en-US" w:eastAsia="zh-CN"/>
              </w:rPr>
              <w:t>投标</w:t>
            </w:r>
            <w:r>
              <w:rPr>
                <w:sz w:val="28"/>
                <w:szCs w:val="28"/>
              </w:rPr>
              <w:t>报价</w:t>
            </w:r>
          </w:p>
        </w:tc>
        <w:tc>
          <w:tcPr>
            <w:tcW w:w="2376" w:type="dxa"/>
            <w:noWrap w:val="0"/>
            <w:vAlign w:val="top"/>
          </w:tcPr>
          <w:p w14:paraId="6BF52596">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0分)</w:t>
            </w:r>
          </w:p>
          <w:p w14:paraId="39EC3E67">
            <w:pPr>
              <w:pStyle w:val="2"/>
            </w:pPr>
          </w:p>
        </w:tc>
        <w:tc>
          <w:tcPr>
            <w:tcW w:w="5888" w:type="dxa"/>
            <w:noWrap w:val="0"/>
            <w:vAlign w:val="top"/>
          </w:tcPr>
          <w:p w14:paraId="44855042">
            <w:pPr>
              <w:keepNext w:val="0"/>
              <w:keepLines w:val="0"/>
              <w:pageBreakBefore w:val="0"/>
              <w:widowControl w:val="0"/>
              <w:kinsoku/>
              <w:wordWrap/>
              <w:overflowPunct/>
              <w:topLinePunct w:val="0"/>
              <w:autoSpaceDE/>
              <w:autoSpaceDN/>
              <w:bidi w:val="0"/>
              <w:adjustRightInd/>
              <w:snapToGrid/>
              <w:jc w:val="both"/>
              <w:textAlignment w:val="auto"/>
            </w:pPr>
            <w:r>
              <w:rPr>
                <w:rFonts w:hint="eastAsia" w:ascii="仿宋" w:hAnsi="仿宋" w:eastAsia="仿宋" w:cstheme="minorBidi"/>
                <w:b w:val="0"/>
                <w:bCs w:val="0"/>
                <w:color w:val="auto"/>
                <w:sz w:val="28"/>
                <w:szCs w:val="28"/>
              </w:rPr>
              <w:t>投标报价得分(</w:t>
            </w:r>
            <w:r>
              <w:rPr>
                <w:rFonts w:hint="eastAsia" w:ascii="仿宋" w:hAnsi="仿宋" w:eastAsia="仿宋" w:cstheme="minorBidi"/>
                <w:b w:val="0"/>
                <w:bCs w:val="0"/>
                <w:color w:val="auto"/>
                <w:sz w:val="28"/>
                <w:szCs w:val="28"/>
                <w:lang w:val="en-US" w:eastAsia="zh-CN"/>
              </w:rPr>
              <w:t>30</w:t>
            </w:r>
            <w:r>
              <w:rPr>
                <w:rFonts w:hint="eastAsia" w:ascii="仿宋" w:hAnsi="仿宋" w:eastAsia="仿宋" w:cstheme="minorBidi"/>
                <w:b w:val="0"/>
                <w:bCs w:val="0"/>
                <w:color w:val="auto"/>
                <w:sz w:val="28"/>
                <w:szCs w:val="28"/>
              </w:rPr>
              <w:t>.0分)：投标报价得分＝（基准价/</w:t>
            </w:r>
            <w:r>
              <w:rPr>
                <w:rFonts w:hint="eastAsia" w:ascii="仿宋" w:hAnsi="仿宋" w:eastAsia="仿宋" w:cstheme="minorBidi"/>
                <w:b w:val="0"/>
                <w:bCs w:val="0"/>
                <w:color w:val="auto"/>
                <w:sz w:val="28"/>
                <w:szCs w:val="28"/>
                <w:lang w:val="en-US" w:eastAsia="zh-CN"/>
              </w:rPr>
              <w:t>投标</w:t>
            </w:r>
            <w:r>
              <w:rPr>
                <w:rFonts w:hint="eastAsia" w:ascii="仿宋" w:hAnsi="仿宋" w:eastAsia="仿宋" w:cstheme="minorBidi"/>
                <w:b w:val="0"/>
                <w:bCs w:val="0"/>
                <w:color w:val="auto"/>
                <w:sz w:val="28"/>
                <w:szCs w:val="28"/>
              </w:rPr>
              <w:t>报价）×价格分值【注：（1）满足采购文件要求且投标价格最低的投标报价为基准价</w:t>
            </w:r>
            <w:r>
              <w:rPr>
                <w:rFonts w:hint="eastAsia" w:ascii="仿宋" w:hAnsi="仿宋" w:eastAsia="仿宋" w:cstheme="minorBidi"/>
                <w:b w:val="0"/>
                <w:bCs w:val="0"/>
                <w:color w:val="auto"/>
                <w:sz w:val="28"/>
                <w:szCs w:val="28"/>
                <w:lang w:eastAsia="zh-CN"/>
              </w:rPr>
              <w:t>，</w:t>
            </w:r>
            <w:r>
              <w:rPr>
                <w:rFonts w:hint="eastAsia" w:ascii="仿宋" w:hAnsi="仿宋" w:eastAsia="仿宋" w:cstheme="minorBidi"/>
                <w:b w:val="0"/>
                <w:bCs w:val="0"/>
                <w:color w:val="auto"/>
                <w:sz w:val="28"/>
                <w:szCs w:val="28"/>
              </w:rPr>
              <w:t>最低报价不是中标的唯一依据。（2）</w:t>
            </w:r>
            <w:r>
              <w:rPr>
                <w:rFonts w:hint="eastAsia" w:ascii="仿宋" w:hAnsi="仿宋" w:eastAsia="仿宋" w:cstheme="minorBidi"/>
                <w:b w:val="0"/>
                <w:bCs w:val="0"/>
                <w:color w:val="auto"/>
                <w:sz w:val="28"/>
                <w:szCs w:val="28"/>
                <w:u w:val="none"/>
                <w:lang w:val="en-US" w:eastAsia="zh-CN"/>
              </w:rPr>
              <w:t>投标报价=</w:t>
            </w:r>
            <w:r>
              <w:rPr>
                <w:rFonts w:hint="eastAsia" w:ascii="仿宋" w:hAnsi="仿宋" w:eastAsia="仿宋" w:cstheme="minorBidi"/>
                <w:b w:val="0"/>
                <w:bCs w:val="0"/>
                <w:color w:val="auto"/>
                <w:sz w:val="28"/>
                <w:szCs w:val="28"/>
                <w:u w:val="none"/>
              </w:rPr>
              <w:t>供应商的设备金额</w:t>
            </w:r>
            <w:r>
              <w:rPr>
                <w:rFonts w:hint="eastAsia" w:ascii="仿宋" w:hAnsi="仿宋" w:eastAsia="仿宋" w:cstheme="minorBidi"/>
                <w:b w:val="0"/>
                <w:bCs w:val="0"/>
                <w:color w:val="auto"/>
                <w:sz w:val="28"/>
                <w:szCs w:val="28"/>
                <w:u w:val="none"/>
                <w:lang w:val="en-US" w:eastAsia="zh-CN"/>
              </w:rPr>
              <w:t>+</w:t>
            </w:r>
            <w:r>
              <w:rPr>
                <w:rFonts w:hint="eastAsia" w:ascii="仿宋" w:hAnsi="仿宋" w:eastAsia="仿宋" w:cstheme="minorBidi"/>
                <w:b w:val="0"/>
                <w:bCs w:val="0"/>
                <w:color w:val="auto"/>
                <w:sz w:val="28"/>
                <w:szCs w:val="28"/>
                <w:highlight w:val="none"/>
                <w:u w:val="none"/>
                <w:lang w:val="en-US" w:eastAsia="zh-CN"/>
              </w:rPr>
              <w:t>两</w:t>
            </w:r>
            <w:r>
              <w:rPr>
                <w:rFonts w:hint="eastAsia" w:ascii="仿宋" w:hAnsi="仿宋" w:eastAsia="仿宋" w:cstheme="minorBidi"/>
                <w:b w:val="0"/>
                <w:bCs w:val="0"/>
                <w:color w:val="auto"/>
                <w:sz w:val="28"/>
                <w:szCs w:val="28"/>
                <w:u w:val="none"/>
              </w:rPr>
              <w:t>年内的专机专用耗材</w:t>
            </w:r>
            <w:r>
              <w:rPr>
                <w:rFonts w:hint="eastAsia" w:ascii="仿宋" w:hAnsi="仿宋" w:eastAsia="仿宋" w:cstheme="minorBidi"/>
                <w:b w:val="0"/>
                <w:bCs w:val="0"/>
                <w:color w:val="auto"/>
                <w:sz w:val="28"/>
                <w:szCs w:val="28"/>
                <w:u w:val="none"/>
                <w:lang w:val="en-US" w:eastAsia="zh-CN"/>
              </w:rPr>
              <w:t>金额</w:t>
            </w:r>
            <w:r>
              <w:rPr>
                <w:rFonts w:hint="eastAsia" w:ascii="仿宋_GB2312" w:hAnsi="仿宋_GB2312" w:cs="仿宋_GB2312"/>
                <w:color w:val="auto"/>
                <w:sz w:val="28"/>
                <w:szCs w:val="21"/>
                <w:lang w:val="en-US" w:eastAsia="zh-CN"/>
              </w:rPr>
              <w:t>(有多个产品的需分别列明，</w:t>
            </w:r>
            <w:r>
              <w:rPr>
                <w:rFonts w:hint="eastAsia" w:ascii="仿宋_GB2312" w:hAnsi="仿宋_GB2312" w:cs="仿宋_GB2312"/>
                <w:color w:val="auto"/>
                <w:sz w:val="28"/>
                <w:szCs w:val="21"/>
              </w:rPr>
              <w:t>如同一</w:t>
            </w:r>
            <w:r>
              <w:rPr>
                <w:rFonts w:hint="eastAsia" w:ascii="仿宋_GB2312" w:hAnsi="仿宋_GB2312" w:cs="仿宋_GB2312"/>
                <w:color w:val="auto"/>
                <w:sz w:val="28"/>
                <w:szCs w:val="21"/>
                <w:lang w:eastAsia="zh-CN"/>
              </w:rPr>
              <w:t>类检测试剂、耗材</w:t>
            </w:r>
            <w:r>
              <w:rPr>
                <w:rFonts w:hint="eastAsia" w:ascii="仿宋_GB2312" w:hAnsi="仿宋_GB2312" w:cs="仿宋_GB2312"/>
                <w:color w:val="auto"/>
                <w:sz w:val="28"/>
                <w:szCs w:val="21"/>
              </w:rPr>
              <w:t>有多个报价时取最高报价计算得分</w:t>
            </w:r>
            <w:r>
              <w:rPr>
                <w:rFonts w:hint="eastAsia" w:ascii="仿宋_GB2312" w:hAnsi="仿宋_GB2312" w:cs="仿宋_GB2312"/>
                <w:color w:val="auto"/>
                <w:sz w:val="28"/>
                <w:szCs w:val="21"/>
                <w:lang w:val="en-US" w:eastAsia="zh-CN"/>
              </w:rPr>
              <w:t>）</w:t>
            </w:r>
            <w:r>
              <w:rPr>
                <w:rFonts w:hint="eastAsia" w:ascii="仿宋" w:hAnsi="仿宋" w:eastAsia="仿宋" w:cstheme="minorBidi"/>
                <w:b w:val="0"/>
                <w:bCs w:val="0"/>
                <w:color w:val="auto"/>
                <w:sz w:val="28"/>
                <w:szCs w:val="28"/>
                <w:u w:val="none"/>
                <w:lang w:val="en-US" w:eastAsia="zh-CN"/>
              </w:rPr>
              <w:t>，</w:t>
            </w:r>
            <w:r>
              <w:rPr>
                <w:rFonts w:hint="eastAsia" w:ascii="仿宋" w:hAnsi="仿宋" w:eastAsia="仿宋" w:cstheme="minorBidi"/>
                <w:b w:val="0"/>
                <w:bCs w:val="0"/>
                <w:color w:val="auto"/>
                <w:sz w:val="28"/>
                <w:szCs w:val="28"/>
                <w:highlight w:val="none"/>
                <w:u w:val="none"/>
                <w:lang w:val="en-US" w:eastAsia="zh-CN"/>
              </w:rPr>
              <w:t>两年内的专机专用耗材预估使用量</w:t>
            </w:r>
            <w:r>
              <w:rPr>
                <w:rFonts w:hint="eastAsia" w:ascii="仿宋" w:hAnsi="仿宋" w:eastAsia="仿宋" w:cstheme="minorBidi"/>
                <w:b w:val="0"/>
                <w:bCs w:val="0"/>
                <w:color w:val="auto"/>
                <w:sz w:val="28"/>
                <w:szCs w:val="28"/>
                <w:highlight w:val="none"/>
                <w:u w:val="none"/>
              </w:rPr>
              <w:t>为</w:t>
            </w:r>
            <w:r>
              <w:rPr>
                <w:rFonts w:hint="eastAsia" w:ascii="仿宋" w:hAnsi="仿宋" w:eastAsia="仿宋" w:cstheme="minorBidi"/>
                <w:b w:val="0"/>
                <w:bCs w:val="0"/>
                <w:color w:val="auto"/>
                <w:sz w:val="28"/>
                <w:szCs w:val="28"/>
                <w:highlight w:val="none"/>
                <w:u w:val="none"/>
                <w:lang w:val="en-US" w:eastAsia="zh-CN"/>
              </w:rPr>
              <w:t>钙卫蛋白检测4000例</w:t>
            </w:r>
            <w:r>
              <w:rPr>
                <w:rFonts w:hint="eastAsia" w:ascii="仿宋" w:hAnsi="仿宋" w:eastAsia="仿宋" w:cstheme="minorBidi"/>
                <w:b w:val="0"/>
                <w:bCs w:val="0"/>
                <w:color w:val="auto"/>
                <w:sz w:val="28"/>
                <w:szCs w:val="28"/>
                <w:highlight w:val="none"/>
                <w:u w:val="none"/>
                <w:lang w:eastAsia="zh-CN"/>
              </w:rPr>
              <w:t>。</w:t>
            </w:r>
            <w:r>
              <w:rPr>
                <w:rFonts w:hint="eastAsia" w:ascii="仿宋" w:hAnsi="仿宋" w:eastAsia="仿宋" w:cstheme="minorBidi"/>
                <w:b w:val="0"/>
                <w:bCs w:val="0"/>
                <w:color w:val="auto"/>
                <w:sz w:val="28"/>
                <w:szCs w:val="28"/>
                <w:u w:val="none"/>
                <w:lang w:eastAsia="zh-CN"/>
              </w:rPr>
              <w:t>（</w:t>
            </w:r>
            <w:r>
              <w:rPr>
                <w:rFonts w:hint="eastAsia" w:ascii="仿宋" w:hAnsi="仿宋" w:eastAsia="仿宋" w:cstheme="minorBidi"/>
                <w:b w:val="0"/>
                <w:bCs w:val="0"/>
                <w:color w:val="auto"/>
                <w:sz w:val="28"/>
                <w:szCs w:val="28"/>
                <w:u w:val="none"/>
                <w:lang w:val="en-US" w:eastAsia="zh-CN"/>
              </w:rPr>
              <w:t>3</w:t>
            </w:r>
            <w:r>
              <w:rPr>
                <w:rFonts w:hint="eastAsia" w:ascii="仿宋" w:hAnsi="仿宋" w:eastAsia="仿宋" w:cstheme="minorBidi"/>
                <w:b w:val="0"/>
                <w:bCs w:val="0"/>
                <w:color w:val="auto"/>
                <w:sz w:val="28"/>
                <w:szCs w:val="28"/>
                <w:u w:val="none"/>
                <w:lang w:eastAsia="zh-CN"/>
              </w:rPr>
              <w:t>）</w:t>
            </w:r>
            <w:r>
              <w:rPr>
                <w:rFonts w:hint="eastAsia" w:ascii="仿宋" w:hAnsi="仿宋" w:eastAsia="仿宋" w:cstheme="minorBidi"/>
                <w:b w:val="0"/>
                <w:bCs w:val="0"/>
                <w:color w:val="auto"/>
                <w:sz w:val="28"/>
                <w:szCs w:val="28"/>
                <w:u w:val="none"/>
                <w:lang w:val="en-US" w:eastAsia="zh-CN"/>
              </w:rPr>
              <w:t>上述</w:t>
            </w:r>
            <w:r>
              <w:rPr>
                <w:rFonts w:hint="eastAsia" w:ascii="仿宋" w:hAnsi="仿宋" w:eastAsia="仿宋" w:cstheme="minorBidi"/>
                <w:b w:val="0"/>
                <w:bCs w:val="0"/>
                <w:color w:val="auto"/>
                <w:sz w:val="28"/>
                <w:szCs w:val="28"/>
                <w:u w:val="none"/>
              </w:rPr>
              <w:t>耗材</w:t>
            </w:r>
            <w:r>
              <w:rPr>
                <w:rFonts w:hint="eastAsia" w:ascii="仿宋" w:hAnsi="仿宋" w:eastAsia="仿宋" w:cstheme="minorBidi"/>
                <w:b w:val="0"/>
                <w:bCs w:val="0"/>
                <w:color w:val="auto"/>
                <w:sz w:val="28"/>
                <w:szCs w:val="28"/>
                <w:u w:val="none"/>
                <w:lang w:val="en-US" w:eastAsia="zh-CN"/>
              </w:rPr>
              <w:t>预估</w:t>
            </w:r>
            <w:r>
              <w:rPr>
                <w:rFonts w:hint="eastAsia" w:ascii="仿宋" w:hAnsi="仿宋" w:eastAsia="仿宋" w:cstheme="minorBidi"/>
                <w:b w:val="0"/>
                <w:bCs w:val="0"/>
                <w:color w:val="auto"/>
                <w:sz w:val="28"/>
                <w:szCs w:val="28"/>
                <w:u w:val="none"/>
              </w:rPr>
              <w:t>使用量</w:t>
            </w:r>
            <w:r>
              <w:rPr>
                <w:rFonts w:hint="eastAsia" w:ascii="仿宋" w:hAnsi="仿宋" w:eastAsia="仿宋" w:cstheme="minorBidi"/>
                <w:b w:val="0"/>
                <w:bCs w:val="0"/>
                <w:color w:val="auto"/>
                <w:sz w:val="28"/>
                <w:szCs w:val="28"/>
                <w:u w:val="none"/>
                <w:lang w:val="en-US" w:eastAsia="zh-CN"/>
              </w:rPr>
              <w:t>仅</w:t>
            </w:r>
            <w:r>
              <w:rPr>
                <w:rFonts w:hint="eastAsia" w:ascii="仿宋" w:hAnsi="仿宋" w:eastAsia="仿宋" w:cstheme="minorBidi"/>
                <w:b w:val="0"/>
                <w:bCs w:val="0"/>
                <w:color w:val="auto"/>
                <w:sz w:val="28"/>
                <w:szCs w:val="28"/>
                <w:u w:val="none"/>
              </w:rPr>
              <w:t>为本项目评审价格计算用，并非采购人耗材使用量的承诺</w:t>
            </w:r>
            <w:r>
              <w:rPr>
                <w:rFonts w:hint="eastAsia" w:ascii="仿宋" w:hAnsi="仿宋" w:eastAsia="仿宋" w:cstheme="minorBidi"/>
                <w:b/>
                <w:color w:val="auto"/>
                <w:sz w:val="28"/>
                <w:szCs w:val="28"/>
              </w:rPr>
              <w:t>，请</w:t>
            </w:r>
            <w:r>
              <w:rPr>
                <w:rFonts w:ascii="仿宋" w:hAnsi="仿宋" w:eastAsia="仿宋" w:cstheme="minorBidi"/>
                <w:b/>
                <w:color w:val="auto"/>
                <w:sz w:val="28"/>
                <w:szCs w:val="28"/>
              </w:rPr>
              <w:t>投标人充分评估潜在风险</w:t>
            </w:r>
            <w:r>
              <w:rPr>
                <w:rFonts w:hint="eastAsia" w:ascii="仿宋" w:hAnsi="仿宋" w:eastAsia="仿宋" w:cstheme="minorBidi"/>
                <w:b w:val="0"/>
                <w:bCs w:val="0"/>
                <w:color w:val="auto"/>
                <w:sz w:val="28"/>
                <w:szCs w:val="28"/>
                <w:u w:val="none"/>
              </w:rPr>
              <w:t>。若投标人不对耗材进行报价，采购人有权视为投标人对本项目报价响应缺漏，</w:t>
            </w:r>
            <w:r>
              <w:rPr>
                <w:rFonts w:hint="eastAsia" w:ascii="仿宋" w:hAnsi="仿宋" w:eastAsia="仿宋" w:cstheme="minorBidi"/>
                <w:b w:val="0"/>
                <w:bCs w:val="0"/>
                <w:color w:val="auto"/>
                <w:sz w:val="28"/>
                <w:szCs w:val="28"/>
                <w:u w:val="none"/>
                <w:lang w:val="en-US" w:eastAsia="zh-CN"/>
              </w:rPr>
              <w:t>将</w:t>
            </w:r>
            <w:r>
              <w:rPr>
                <w:rFonts w:hint="eastAsia" w:ascii="仿宋" w:hAnsi="仿宋" w:eastAsia="仿宋" w:cstheme="minorBidi"/>
                <w:b w:val="0"/>
                <w:bCs w:val="0"/>
                <w:color w:val="auto"/>
                <w:sz w:val="28"/>
                <w:szCs w:val="28"/>
                <w:u w:val="none"/>
              </w:rPr>
              <w:t>导致投标无效。</w:t>
            </w:r>
            <w:r>
              <w:rPr>
                <w:rFonts w:hint="eastAsia" w:ascii="仿宋" w:hAnsi="仿宋" w:eastAsia="仿宋" w:cstheme="minorBidi"/>
                <w:b w:val="0"/>
                <w:bCs w:val="0"/>
                <w:color w:val="auto"/>
                <w:sz w:val="28"/>
                <w:szCs w:val="28"/>
              </w:rPr>
              <w:t>】</w:t>
            </w:r>
          </w:p>
        </w:tc>
      </w:tr>
    </w:tbl>
    <w:p w14:paraId="6F676301">
      <w:pPr>
        <w:autoSpaceDE w:val="0"/>
        <w:autoSpaceDN w:val="0"/>
        <w:adjustRightInd w:val="0"/>
        <w:snapToGrid w:val="0"/>
        <w:spacing w:line="240" w:lineRule="auto"/>
        <w:ind w:firstLine="0"/>
        <w:rPr>
          <w:rFonts w:ascii="仿宋" w:hAnsi="仿宋" w:eastAsia="仿宋" w:cs="Helvetica Neue"/>
          <w:i/>
          <w:iCs/>
          <w:kern w:val="0"/>
          <w:sz w:val="28"/>
          <w:szCs w:val="28"/>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CFC3E1B"/>
    <w:rsid w:val="1D2D5615"/>
    <w:rsid w:val="1D7946FD"/>
    <w:rsid w:val="1DE74786"/>
    <w:rsid w:val="1DEA7E9E"/>
    <w:rsid w:val="1DEE4026"/>
    <w:rsid w:val="1E210611"/>
    <w:rsid w:val="1E361C38"/>
    <w:rsid w:val="1EA27958"/>
    <w:rsid w:val="1EAA2CB1"/>
    <w:rsid w:val="1ECF4EF5"/>
    <w:rsid w:val="1ED649B9"/>
    <w:rsid w:val="1F0C571A"/>
    <w:rsid w:val="1F1D16D5"/>
    <w:rsid w:val="1F2573EA"/>
    <w:rsid w:val="1F3446D9"/>
    <w:rsid w:val="1F4D284C"/>
    <w:rsid w:val="1F501AAA"/>
    <w:rsid w:val="1FAE25F1"/>
    <w:rsid w:val="1FB060A0"/>
    <w:rsid w:val="1FE2463C"/>
    <w:rsid w:val="20324395"/>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2155</Words>
  <Characters>2226</Characters>
  <Lines>40</Lines>
  <Paragraphs>11</Paragraphs>
  <TotalTime>0</TotalTime>
  <ScaleCrop>false</ScaleCrop>
  <LinksUpToDate>false</LinksUpToDate>
  <CharactersWithSpaces>2244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2026-08-18T01:12:14Z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