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hint="eastAsia" w:ascii="仿宋_GB2312" w:hAnsi="仿宋_GB2312" w:cs="仿宋_GB2312"/>
          <w:b/>
          <w:bCs/>
        </w:rPr>
      </w:pPr>
      <w:r>
        <w:rPr>
          <w:rFonts w:hint="eastAsia"/>
          <w:b/>
          <w:bCs/>
        </w:rPr>
        <w:t>附件</w:t>
      </w:r>
      <w:r>
        <w:rPr>
          <w:rFonts w:hint="eastAsia"/>
          <w:b/>
          <w:bCs/>
          <w:lang w:val="en-US" w:eastAsia="zh-CN"/>
        </w:rPr>
        <w:t>3</w:t>
      </w:r>
      <w:bookmarkStart w:id="0" w:name="_GoBack"/>
      <w:bookmarkEnd w:id="0"/>
      <w:r>
        <w:rPr>
          <w:rFonts w:hint="eastAsia" w:ascii="仿宋_GB2312" w:hAnsi="仿宋_GB2312" w:cs="仿宋_GB2312"/>
          <w:b/>
          <w:bCs/>
        </w:rPr>
        <w:t>：</w:t>
      </w:r>
    </w:p>
    <w:p w14:paraId="3A3B0F4E">
      <w:pPr>
        <w:pStyle w:val="3"/>
        <w:jc w:val="center"/>
        <w:rPr>
          <w:rFonts w:hint="eastAsia" w:ascii="方正小标宋简体" w:eastAsia="方正小标宋简体"/>
          <w:sz w:val="44"/>
          <w:szCs w:val="44"/>
        </w:rPr>
      </w:pPr>
      <w:r>
        <w:rPr>
          <w:rFonts w:hint="eastAsia" w:ascii="方正小标宋简体" w:eastAsia="方正小标宋简体"/>
          <w:sz w:val="44"/>
          <w:szCs w:val="44"/>
        </w:rPr>
        <w:t>急救转运呼吸机技术要求及具体评审标准</w:t>
      </w:r>
    </w:p>
    <w:p w14:paraId="3A2C0485">
      <w:pPr>
        <w:rPr>
          <w:rFonts w:hint="eastAsia" w:eastAsia="方正小标宋简体"/>
          <w:lang w:eastAsia="zh-CN"/>
        </w:rPr>
      </w:pPr>
      <w:r>
        <w:rPr>
          <w:rFonts w:hint="eastAsia" w:ascii="宋体" w:hAnsi="宋体" w:eastAsia="宋体" w:cs="宋体"/>
          <w:b/>
          <w:bCs/>
          <w:sz w:val="32"/>
          <w:szCs w:val="32"/>
          <w:lang w:eastAsia="zh-CN"/>
        </w:rPr>
        <w:t>一、急救转运呼吸机技术要求</w:t>
      </w:r>
    </w:p>
    <w:tbl>
      <w:tblPr>
        <w:tblStyle w:val="11"/>
        <w:tblW w:w="88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73"/>
        <w:gridCol w:w="813"/>
        <w:gridCol w:w="6853"/>
      </w:tblGrid>
      <w:tr w14:paraId="764B3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173" w:type="dxa"/>
            <w:vAlign w:val="center"/>
          </w:tcPr>
          <w:p w14:paraId="746EFF8F">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参数性质</w:t>
            </w:r>
          </w:p>
        </w:tc>
        <w:tc>
          <w:tcPr>
            <w:tcW w:w="813" w:type="dxa"/>
            <w:vAlign w:val="center"/>
          </w:tcPr>
          <w:p w14:paraId="542B3304">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序号</w:t>
            </w:r>
          </w:p>
        </w:tc>
        <w:tc>
          <w:tcPr>
            <w:tcW w:w="6853" w:type="dxa"/>
            <w:vAlign w:val="center"/>
          </w:tcPr>
          <w:p w14:paraId="2108EBE7">
            <w:pPr>
              <w:keepNext w:val="0"/>
              <w:keepLines w:val="0"/>
              <w:suppressLineNumbers w:val="0"/>
              <w:spacing w:before="0" w:beforeAutospacing="0" w:after="0" w:afterAutospacing="0" w:line="240" w:lineRule="auto"/>
              <w:ind w:left="0" w:right="0" w:firstLine="0"/>
              <w:jc w:val="center"/>
              <w:rPr>
                <w:rFonts w:hint="default" w:asciiTheme="minorHAnsi" w:hAnsiTheme="minorHAnsi" w:eastAsiaTheme="minorEastAsia" w:cstheme="minorBidi"/>
                <w:b/>
                <w:bCs/>
                <w:color w:val="auto"/>
                <w:sz w:val="21"/>
                <w:szCs w:val="24"/>
                <w:highlight w:val="none"/>
              </w:rPr>
            </w:pPr>
            <w:r>
              <w:rPr>
                <w:rFonts w:hint="default" w:asciiTheme="minorHAnsi" w:hAnsiTheme="minorHAnsi" w:eastAsiaTheme="minorEastAsia" w:cstheme="minorBidi"/>
                <w:b/>
                <w:bCs/>
                <w:color w:val="auto"/>
                <w:sz w:val="21"/>
                <w:szCs w:val="24"/>
                <w:highlight w:val="none"/>
              </w:rPr>
              <w:t>具体技术(参数)要求</w:t>
            </w:r>
          </w:p>
        </w:tc>
      </w:tr>
      <w:tr w14:paraId="4A333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0A102F79">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14659BA2">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853" w:type="dxa"/>
            <w:vAlign w:val="center"/>
          </w:tcPr>
          <w:p w14:paraId="69BE2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一、</w:t>
            </w:r>
            <w:r>
              <w:rPr>
                <w:rFonts w:hint="eastAsia" w:ascii="宋体" w:hAnsi="宋体" w:eastAsia="宋体" w:cs="宋体"/>
                <w:b/>
                <w:bCs/>
                <w:sz w:val="24"/>
                <w:szCs w:val="24"/>
                <w:lang w:eastAsia="zh-CN"/>
              </w:rPr>
              <w:t>总体要求：</w:t>
            </w:r>
            <w:r>
              <w:rPr>
                <w:rFonts w:hint="eastAsia" w:ascii="宋体" w:hAnsi="宋体" w:eastAsia="宋体" w:cs="宋体"/>
                <w:sz w:val="24"/>
                <w:szCs w:val="24"/>
                <w:lang w:val="en-US" w:eastAsia="zh-CN"/>
              </w:rPr>
              <w:t>1、急救转运呼吸机</w:t>
            </w:r>
            <w:r>
              <w:rPr>
                <w:rFonts w:hint="eastAsia" w:ascii="宋体" w:hAnsi="宋体" w:eastAsia="宋体" w:cs="宋体"/>
                <w:sz w:val="24"/>
                <w:szCs w:val="24"/>
                <w:lang w:eastAsia="zh-CN"/>
              </w:rPr>
              <w:t>具有有效的医疗器械注册证明（提供注册证明文件）；</w:t>
            </w:r>
          </w:p>
        </w:tc>
      </w:tr>
      <w:tr w14:paraId="0572A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6" w:hRule="atLeast"/>
        </w:trPr>
        <w:tc>
          <w:tcPr>
            <w:tcW w:w="1173" w:type="dxa"/>
            <w:vAlign w:val="center"/>
          </w:tcPr>
          <w:p w14:paraId="1904EF07">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5BAE7EC5">
            <w:pPr>
              <w:keepNext w:val="0"/>
              <w:keepLines w:val="0"/>
              <w:suppressLineNumbers w:val="0"/>
              <w:spacing w:before="0" w:beforeAutospacing="0" w:after="0" w:afterAutospacing="0" w:line="240" w:lineRule="auto"/>
              <w:ind w:left="0" w:right="0"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6853" w:type="dxa"/>
            <w:vAlign w:val="center"/>
          </w:tcPr>
          <w:p w14:paraId="178EF0F8">
            <w:pPr>
              <w:keepNext w:val="0"/>
              <w:keepLines w:val="0"/>
              <w:suppressLineNumbers w:val="0"/>
              <w:spacing w:before="0" w:beforeAutospacing="0" w:after="0" w:afterAutospacing="0" w:line="360" w:lineRule="exact"/>
              <w:ind w:left="0" w:right="0" w:firstLine="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2、适用范围</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适用于</w:t>
            </w:r>
            <w:r>
              <w:rPr>
                <w:rFonts w:hint="eastAsia" w:ascii="宋体" w:hAnsi="宋体" w:eastAsia="宋体" w:cs="宋体"/>
                <w:color w:val="000000" w:themeColor="text1"/>
                <w:sz w:val="24"/>
                <w:szCs w:val="24"/>
                <w:highlight w:val="none"/>
                <w:lang w:val="en-US" w:eastAsia="zh-CN"/>
                <w14:textFill>
                  <w14:solidFill>
                    <w14:schemeClr w14:val="tx1"/>
                  </w14:solidFill>
                </w14:textFill>
              </w:rPr>
              <w:t>新生儿</w:t>
            </w:r>
            <w:r>
              <w:rPr>
                <w:rFonts w:hint="eastAsia" w:ascii="宋体" w:hAnsi="宋体" w:eastAsia="宋体" w:cs="宋体"/>
                <w:color w:val="auto"/>
                <w:sz w:val="24"/>
                <w:szCs w:val="24"/>
                <w:highlight w:val="none"/>
                <w:lang w:val="en-US" w:eastAsia="zh-CN"/>
              </w:rPr>
              <w:t>和婴幼儿患者进行有创或无创呼吸支持，有中文操作界面及使用说明书；</w:t>
            </w:r>
          </w:p>
        </w:tc>
      </w:tr>
      <w:tr w14:paraId="4CA0A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634CF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65C61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6853" w:type="dxa"/>
            <w:vAlign w:val="center"/>
          </w:tcPr>
          <w:p w14:paraId="5C6066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3、保修期≥3年，故障发生后2小时内响应，保期内提供每年至少一次的预防性维护，费用均包含在投标报价中；</w:t>
            </w:r>
          </w:p>
        </w:tc>
      </w:tr>
      <w:tr w14:paraId="712CE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75365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5CFAF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6853" w:type="dxa"/>
            <w:vAlign w:val="center"/>
          </w:tcPr>
          <w:p w14:paraId="70A61F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4、设备主机使用年限≥10年，（提供同型号产品铭牌/标签或使用说明书等证明）；</w:t>
            </w:r>
          </w:p>
        </w:tc>
      </w:tr>
      <w:tr w14:paraId="18DD2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76BD98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9A71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6853" w:type="dxa"/>
            <w:vAlign w:val="center"/>
          </w:tcPr>
          <w:p w14:paraId="4276222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5、设备交货日期不得超过生产日期后6个月；</w:t>
            </w:r>
          </w:p>
        </w:tc>
      </w:tr>
      <w:tr w14:paraId="41F54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9" w:hRule="atLeast"/>
        </w:trPr>
        <w:tc>
          <w:tcPr>
            <w:tcW w:w="1173" w:type="dxa"/>
            <w:vAlign w:val="center"/>
          </w:tcPr>
          <w:p w14:paraId="5CFC3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sz w:val="24"/>
                <w:szCs w:val="24"/>
              </w:rPr>
              <w:t>★</w:t>
            </w:r>
          </w:p>
        </w:tc>
        <w:tc>
          <w:tcPr>
            <w:tcW w:w="813" w:type="dxa"/>
            <w:vAlign w:val="center"/>
          </w:tcPr>
          <w:p w14:paraId="67E36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6853" w:type="dxa"/>
            <w:vAlign w:val="center"/>
          </w:tcPr>
          <w:p w14:paraId="1A98FAB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6、所投设备为非召回、非停产设备；</w:t>
            </w:r>
          </w:p>
        </w:tc>
      </w:tr>
      <w:tr w14:paraId="5E695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46E2CC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00FBB5F5">
            <w:pPr>
              <w:keepNext w:val="0"/>
              <w:keepLines w:val="0"/>
              <w:pageBreakBefore w:val="0"/>
              <w:widowControl w:val="0"/>
              <w:suppressLineNumbers w:val="0"/>
              <w:tabs>
                <w:tab w:val="center" w:pos="358"/>
                <w:tab w:val="left" w:pos="508"/>
              </w:tabs>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6853" w:type="dxa"/>
            <w:vAlign w:val="center"/>
          </w:tcPr>
          <w:p w14:paraId="3D7293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二、主要</w:t>
            </w:r>
            <w:r>
              <w:rPr>
                <w:rFonts w:hint="eastAsia" w:ascii="宋体" w:hAnsi="宋体" w:eastAsia="宋体" w:cs="宋体"/>
                <w:b/>
                <w:bCs/>
                <w:color w:val="auto"/>
                <w:sz w:val="24"/>
                <w:szCs w:val="24"/>
                <w:highlight w:val="none"/>
                <w:lang w:val="en-US" w:eastAsia="zh-CN"/>
              </w:rPr>
              <w:t>技术参数要求（达到或优于）</w:t>
            </w:r>
          </w:p>
          <w:p w14:paraId="10E4DA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1、整机为电动电控设计，涡轮驱动产生空气气源，方便院内外转运；</w:t>
            </w:r>
          </w:p>
        </w:tc>
      </w:tr>
      <w:tr w14:paraId="0E5E5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1" w:hRule="atLeast"/>
        </w:trPr>
        <w:tc>
          <w:tcPr>
            <w:tcW w:w="1173" w:type="dxa"/>
            <w:vAlign w:val="center"/>
          </w:tcPr>
          <w:p w14:paraId="08C23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080B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6853" w:type="dxa"/>
            <w:vAlign w:val="top"/>
          </w:tcPr>
          <w:p w14:paraId="22E6D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2、带有可充电电池，方便救护车在院外持续转运；配内置蓄电池，续航时长≥300分钟；</w:t>
            </w:r>
          </w:p>
        </w:tc>
      </w:tr>
      <w:tr w14:paraId="00747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1F0629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45CFEF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6853" w:type="dxa"/>
            <w:vAlign w:val="top"/>
          </w:tcPr>
          <w:p w14:paraId="02AD3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3、可开机自检，检查呼吸系统阻力和泄漏，进行系统顺应性补偿，泄漏补偿； </w:t>
            </w:r>
          </w:p>
        </w:tc>
      </w:tr>
      <w:tr w14:paraId="00730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35" w:hRule="atLeast"/>
        </w:trPr>
        <w:tc>
          <w:tcPr>
            <w:tcW w:w="1173" w:type="dxa"/>
            <w:vAlign w:val="center"/>
          </w:tcPr>
          <w:p w14:paraId="323AF4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6D08F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6853" w:type="dxa"/>
            <w:vAlign w:val="top"/>
          </w:tcPr>
          <w:p w14:paraId="0595C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创呼吸模式：标配模式为容量控制通气下的辅助控制通气A/C和同步间歇指令通气SIMV、压力控制通气下的A/C和SIMV、CPAP/PSV持续气道正压通气模式/压力支持通气模式、窒息通气模式、双相气道正压通气（BIPAP）；</w:t>
            </w:r>
          </w:p>
        </w:tc>
      </w:tr>
      <w:tr w14:paraId="09383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3" w:hRule="atLeast"/>
        </w:trPr>
        <w:tc>
          <w:tcPr>
            <w:tcW w:w="1173" w:type="dxa"/>
            <w:vAlign w:val="center"/>
          </w:tcPr>
          <w:p w14:paraId="45D6C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F2BA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6853" w:type="dxa"/>
            <w:vAlign w:val="top"/>
          </w:tcPr>
          <w:p w14:paraId="13817D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5.标配新生儿无创通气模式，包含P-A/C、P-SIMV、CPAP/PSV、双水平正压通气等模式；</w:t>
            </w:r>
          </w:p>
        </w:tc>
      </w:tr>
      <w:tr w14:paraId="6F98B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9" w:hRule="atLeast"/>
        </w:trPr>
        <w:tc>
          <w:tcPr>
            <w:tcW w:w="1173" w:type="dxa"/>
            <w:vAlign w:val="center"/>
          </w:tcPr>
          <w:p w14:paraId="2418D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22144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6853" w:type="dxa"/>
            <w:vAlign w:val="top"/>
          </w:tcPr>
          <w:p w14:paraId="675356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6、氧疗模式 ：具备高流速氧疗功能，氧疗流速（2-80L/min）和氧浓度可调，并具有氧疗计时功能；</w:t>
            </w:r>
          </w:p>
        </w:tc>
      </w:tr>
      <w:tr w14:paraId="5F91C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9" w:hRule="atLeast"/>
        </w:trPr>
        <w:tc>
          <w:tcPr>
            <w:tcW w:w="1173" w:type="dxa"/>
            <w:vAlign w:val="center"/>
          </w:tcPr>
          <w:p w14:paraId="42F95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14E9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6853" w:type="dxa"/>
            <w:vAlign w:val="top"/>
          </w:tcPr>
          <w:p w14:paraId="49F28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7、具有呼吸同步技术，自动调节吸气触发灵敏度和呼气触发灵敏度，自动调节压力上升时间，提高人机同步性和舒适度，减少手动调节参数；</w:t>
            </w:r>
          </w:p>
        </w:tc>
      </w:tr>
      <w:tr w14:paraId="74803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2E716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37548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6853" w:type="dxa"/>
            <w:vAlign w:val="top"/>
          </w:tcPr>
          <w:p w14:paraId="124ED7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8、标配手动呼吸、吸气保持、呼气保持、同步雾化、纯氧灌注、智能吸痰；</w:t>
            </w:r>
          </w:p>
        </w:tc>
      </w:tr>
      <w:tr w14:paraId="6EB9C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6FF80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13F89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6853" w:type="dxa"/>
            <w:vAlign w:val="top"/>
          </w:tcPr>
          <w:p w14:paraId="6F836B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9、可根据病人体重，具有单位理想体重呼气潮气量（如TVe/IBW或VTe/PBW）参数监测功能；</w:t>
            </w:r>
          </w:p>
        </w:tc>
      </w:tr>
      <w:tr w14:paraId="3B9CF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173" w:type="dxa"/>
            <w:vAlign w:val="center"/>
          </w:tcPr>
          <w:p w14:paraId="689A6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6BD7C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6853" w:type="dxa"/>
            <w:vAlign w:val="top"/>
          </w:tcPr>
          <w:p w14:paraId="5468C3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10、具备动态肺视图，能实时图形化动态显示患者肺顺应性的变化；</w:t>
            </w:r>
          </w:p>
        </w:tc>
      </w:tr>
      <w:tr w14:paraId="7C016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trPr>
        <w:tc>
          <w:tcPr>
            <w:tcW w:w="1173" w:type="dxa"/>
            <w:vAlign w:val="center"/>
          </w:tcPr>
          <w:p w14:paraId="4A5CCE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3FEAA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6853" w:type="dxa"/>
            <w:vAlign w:val="top"/>
          </w:tcPr>
          <w:p w14:paraId="25E581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11、分钟通气量监测：可监测分钟泄漏量、气体泄漏百分比、呼气分钟通气量、吸气分钟通气量、自主呼吸分钟通气量；</w:t>
            </w:r>
          </w:p>
        </w:tc>
      </w:tr>
      <w:tr w14:paraId="0D166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3" w:hRule="atLeast"/>
        </w:trPr>
        <w:tc>
          <w:tcPr>
            <w:tcW w:w="1173" w:type="dxa"/>
            <w:vAlign w:val="center"/>
          </w:tcPr>
          <w:p w14:paraId="50D01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77BC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6853" w:type="dxa"/>
            <w:vAlign w:val="top"/>
          </w:tcPr>
          <w:p w14:paraId="35351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12、采用≥8英寸彩色TFT触摸控制屏，分辨率≥1280*800像素；</w:t>
            </w:r>
          </w:p>
        </w:tc>
      </w:tr>
      <w:tr w14:paraId="0EA4A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2D95D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13" w:type="dxa"/>
            <w:vAlign w:val="center"/>
          </w:tcPr>
          <w:p w14:paraId="2B7D3A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6853" w:type="dxa"/>
            <w:vAlign w:val="top"/>
          </w:tcPr>
          <w:p w14:paraId="06BDF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13、标配内源性PEEP、口腔闭合压P0.1和最大吸气负压NIF的测定；</w:t>
            </w:r>
          </w:p>
        </w:tc>
      </w:tr>
      <w:tr w14:paraId="00C4B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3" w:hRule="atLeast"/>
        </w:trPr>
        <w:tc>
          <w:tcPr>
            <w:tcW w:w="1173" w:type="dxa"/>
            <w:vAlign w:val="center"/>
          </w:tcPr>
          <w:p w14:paraId="56687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rPr>
            </w:pPr>
          </w:p>
        </w:tc>
        <w:tc>
          <w:tcPr>
            <w:tcW w:w="813" w:type="dxa"/>
            <w:vAlign w:val="center"/>
          </w:tcPr>
          <w:p w14:paraId="4DDAB0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6853" w:type="dxa"/>
            <w:vAlign w:val="top"/>
          </w:tcPr>
          <w:p w14:paraId="0FC45F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14、具有自动气管插管阻力补偿功能（如ATRC，TRC，ATC），导管孔径和补偿百分比可设；</w:t>
            </w:r>
          </w:p>
        </w:tc>
      </w:tr>
      <w:tr w14:paraId="46CC6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0" w:hRule="atLeast"/>
        </w:trPr>
        <w:tc>
          <w:tcPr>
            <w:tcW w:w="1173" w:type="dxa"/>
            <w:vAlign w:val="center"/>
          </w:tcPr>
          <w:p w14:paraId="0E119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p>
        </w:tc>
        <w:tc>
          <w:tcPr>
            <w:tcW w:w="813" w:type="dxa"/>
            <w:vAlign w:val="center"/>
          </w:tcPr>
          <w:p w14:paraId="53790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6853" w:type="dxa"/>
            <w:vAlign w:val="center"/>
          </w:tcPr>
          <w:p w14:paraId="56C1B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15、具有静态P-V环图，辅助医生确定最佳PEEP值；</w:t>
            </w:r>
          </w:p>
        </w:tc>
      </w:tr>
      <w:tr w14:paraId="16FFE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0" w:hRule="atLeast"/>
        </w:trPr>
        <w:tc>
          <w:tcPr>
            <w:tcW w:w="1173" w:type="dxa"/>
            <w:vAlign w:val="center"/>
          </w:tcPr>
          <w:p w14:paraId="62E6F9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p>
        </w:tc>
        <w:tc>
          <w:tcPr>
            <w:tcW w:w="813" w:type="dxa"/>
            <w:vAlign w:val="center"/>
          </w:tcPr>
          <w:p w14:paraId="553328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6853" w:type="dxa"/>
            <w:vAlign w:val="center"/>
          </w:tcPr>
          <w:p w14:paraId="0B0909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16、</w:t>
            </w:r>
            <w:r>
              <w:rPr>
                <w:rFonts w:hint="eastAsia" w:ascii="宋体" w:hAnsi="宋体" w:eastAsia="宋体" w:cs="宋体"/>
                <w:b/>
                <w:bCs/>
                <w:color w:val="auto"/>
                <w:sz w:val="24"/>
                <w:szCs w:val="24"/>
                <w:highlight w:val="none"/>
                <w:lang w:val="en-US" w:eastAsia="zh-CN"/>
              </w:rPr>
              <w:t>设置参数要求:</w:t>
            </w:r>
          </w:p>
          <w:p w14:paraId="64221D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潮气量：2ml—300ml</w:t>
            </w:r>
          </w:p>
          <w:p w14:paraId="015D7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呼吸频率：1-100次/min</w:t>
            </w:r>
          </w:p>
          <w:p w14:paraId="2B367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SIMV频率：1-60次/min</w:t>
            </w:r>
          </w:p>
          <w:p w14:paraId="42475A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吸/呼比：4:1—1:10</w:t>
            </w:r>
          </w:p>
          <w:p w14:paraId="4091E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最大峰值流速：≥210L/min</w:t>
            </w:r>
          </w:p>
          <w:p w14:paraId="03FB6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压力支持：1—60cmH2O</w:t>
            </w:r>
          </w:p>
          <w:p w14:paraId="70006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PEEP：0--35 cmH2O</w:t>
            </w:r>
          </w:p>
          <w:p w14:paraId="43F1C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吸气压力：5--80 cmH2O</w:t>
            </w:r>
          </w:p>
          <w:p w14:paraId="43EAE0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压力触发灵敏度：-20— -0.5cmH2O</w:t>
            </w:r>
          </w:p>
          <w:p w14:paraId="7F9D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流速触发灵敏度：0.1—5L/ min</w:t>
            </w:r>
          </w:p>
          <w:p w14:paraId="6E3EEC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氧浓度：21—100%</w:t>
            </w:r>
          </w:p>
          <w:p w14:paraId="1C0CDB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叹息功能：有</w:t>
            </w:r>
          </w:p>
        </w:tc>
      </w:tr>
      <w:tr w14:paraId="50DE7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63C04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sz w:val="24"/>
                <w:szCs w:val="24"/>
              </w:rPr>
              <w:t>★</w:t>
            </w:r>
          </w:p>
        </w:tc>
        <w:tc>
          <w:tcPr>
            <w:tcW w:w="813" w:type="dxa"/>
            <w:vAlign w:val="center"/>
          </w:tcPr>
          <w:p w14:paraId="584815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23</w:t>
            </w:r>
          </w:p>
        </w:tc>
        <w:tc>
          <w:tcPr>
            <w:tcW w:w="6853" w:type="dxa"/>
            <w:vAlign w:val="center"/>
          </w:tcPr>
          <w:p w14:paraId="0BDAFE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eastAsia" w:ascii="宋体" w:hAnsi="宋体" w:eastAsia="宋体" w:cs="宋体"/>
                <w:b/>
                <w:bCs/>
                <w:sz w:val="24"/>
                <w:szCs w:val="24"/>
                <w:lang w:eastAsia="zh-CN"/>
              </w:rPr>
            </w:pPr>
            <w:r>
              <w:rPr>
                <w:rFonts w:hint="eastAsia" w:ascii="宋体" w:hAnsi="宋体" w:eastAsia="宋体" w:cs="宋体"/>
                <w:b/>
                <w:bCs/>
                <w:kern w:val="2"/>
                <w:sz w:val="24"/>
                <w:szCs w:val="24"/>
                <w:lang w:val="en-US" w:eastAsia="zh-CN" w:bidi="ar-SA"/>
              </w:rPr>
              <w:t>三、主要</w:t>
            </w:r>
            <w:r>
              <w:rPr>
                <w:rFonts w:hint="eastAsia" w:ascii="宋体" w:hAnsi="宋体" w:eastAsia="宋体" w:cs="宋体"/>
                <w:b/>
                <w:bCs/>
                <w:sz w:val="24"/>
                <w:szCs w:val="24"/>
              </w:rPr>
              <w:t>配置清单（单台</w:t>
            </w:r>
            <w:r>
              <w:rPr>
                <w:rFonts w:hint="eastAsia" w:ascii="宋体" w:hAnsi="宋体" w:eastAsia="宋体" w:cs="宋体"/>
                <w:b/>
                <w:bCs/>
                <w:sz w:val="24"/>
                <w:szCs w:val="24"/>
                <w:lang w:eastAsia="zh-CN"/>
              </w:rPr>
              <w:t>）</w:t>
            </w:r>
          </w:p>
          <w:tbl>
            <w:tblPr>
              <w:tblStyle w:val="11"/>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3288"/>
              <w:gridCol w:w="792"/>
              <w:gridCol w:w="792"/>
            </w:tblGrid>
            <w:tr w14:paraId="152A56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5" w:type="dxa"/>
                  <w:tcBorders>
                    <w:top w:val="single" w:color="000000" w:sz="4" w:space="0"/>
                    <w:left w:val="single" w:color="000000" w:sz="4" w:space="0"/>
                    <w:bottom w:val="single" w:color="auto" w:sz="4" w:space="0"/>
                    <w:right w:val="single" w:color="000000" w:sz="4" w:space="0"/>
                  </w:tcBorders>
                  <w:tcMar>
                    <w:top w:w="0" w:type="dxa"/>
                    <w:left w:w="105" w:type="dxa"/>
                    <w:bottom w:w="0" w:type="dxa"/>
                    <w:right w:w="105" w:type="dxa"/>
                  </w:tcMar>
                  <w:vAlign w:val="center"/>
                </w:tcPr>
                <w:p w14:paraId="6CDEFA3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b/>
                      <w:sz w:val="21"/>
                    </w:rPr>
                    <w:t>序号</w:t>
                  </w:r>
                </w:p>
              </w:tc>
              <w:tc>
                <w:tcPr>
                  <w:tcW w:w="3288"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5D1DE47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eastAsia="宋体"/>
                      <w:lang w:val="en-US" w:eastAsia="zh-CN"/>
                    </w:rPr>
                  </w:pPr>
                  <w:r>
                    <w:rPr>
                      <w:rFonts w:hint="eastAsia"/>
                      <w:b/>
                      <w:sz w:val="21"/>
                      <w:lang w:val="en-US" w:eastAsia="zh-CN"/>
                    </w:rPr>
                    <w:t>配置名称</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188E253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宋体"/>
                      <w:lang w:val="en-US" w:eastAsia="zh-CN"/>
                    </w:rPr>
                  </w:pPr>
                  <w:r>
                    <w:rPr>
                      <w:rFonts w:hint="eastAsia"/>
                      <w:b/>
                      <w:bCs/>
                      <w:lang w:val="en-US" w:eastAsia="zh-CN"/>
                    </w:rPr>
                    <w:t>单位</w:t>
                  </w:r>
                </w:p>
              </w:tc>
              <w:tc>
                <w:tcPr>
                  <w:tcW w:w="792" w:type="dxa"/>
                  <w:tcBorders>
                    <w:top w:val="single" w:color="000000" w:sz="4" w:space="0"/>
                    <w:left w:val="nil"/>
                    <w:bottom w:val="single" w:color="auto" w:sz="4" w:space="0"/>
                    <w:right w:val="single" w:color="000000" w:sz="4" w:space="0"/>
                  </w:tcBorders>
                  <w:tcMar>
                    <w:top w:w="0" w:type="dxa"/>
                    <w:left w:w="105" w:type="dxa"/>
                    <w:bottom w:w="0" w:type="dxa"/>
                    <w:right w:w="105" w:type="dxa"/>
                  </w:tcMar>
                  <w:vAlign w:val="center"/>
                </w:tcPr>
                <w:p w14:paraId="346AF332">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eastAsia="宋体"/>
                      <w:b/>
                      <w:sz w:val="21"/>
                      <w:lang w:val="en-US" w:eastAsia="zh-CN"/>
                    </w:rPr>
                  </w:pPr>
                  <w:r>
                    <w:rPr>
                      <w:rFonts w:hint="eastAsia"/>
                      <w:b/>
                      <w:sz w:val="21"/>
                      <w:lang w:val="en-US" w:eastAsia="zh-CN"/>
                    </w:rPr>
                    <w:t>数量</w:t>
                  </w:r>
                </w:p>
              </w:tc>
            </w:tr>
            <w:tr w14:paraId="33A20A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C7BF8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CC887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宋体" w:hAnsi="宋体" w:eastAsia="宋体" w:cs="宋体"/>
                      <w:b w:val="0"/>
                      <w:bCs w:val="0"/>
                      <w:sz w:val="24"/>
                      <w:szCs w:val="24"/>
                    </w:rPr>
                    <w:t>呼吸机主机</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EE0533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D377A6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35415F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B64B99A">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FF9711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宋体" w:hAnsi="宋体" w:eastAsia="宋体" w:cs="宋体"/>
                      <w:b w:val="0"/>
                      <w:bCs w:val="0"/>
                      <w:sz w:val="24"/>
                      <w:szCs w:val="24"/>
                    </w:rPr>
                    <w:t>电源线</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BF1DA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3B4455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6E589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E73BF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626D02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氧气软管（配接头</w:t>
                  </w:r>
                  <w:r>
                    <w:rPr>
                      <w:rFonts w:hint="eastAsia" w:ascii="宋体" w:hAnsi="宋体" w:eastAsia="宋体" w:cs="宋体"/>
                      <w:b w:val="0"/>
                      <w:bCs w:val="0"/>
                      <w:sz w:val="24"/>
                      <w:szCs w:val="24"/>
                      <w:lang w:eastAsia="zh-CN"/>
                    </w:rPr>
                    <w:t>）</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8D93B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根</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80BC8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68F377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7C108E">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18B89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模拟肺</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20DA72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3DBDB5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250896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F813A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B41822A">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val="0"/>
                      <w:bCs w:val="0"/>
                      <w:sz w:val="24"/>
                      <w:szCs w:val="24"/>
                    </w:rPr>
                    <w:t>湿化器</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D0986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6AC141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7A63BF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5613DE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B00951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可充电电池</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867F1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3B35E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7A406D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9B56CC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8282F1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一次性过滤</w:t>
                  </w:r>
                  <w:r>
                    <w:rPr>
                      <w:rFonts w:hint="eastAsia" w:ascii="宋体" w:hAnsi="宋体" w:cs="宋体"/>
                      <w:b w:val="0"/>
                      <w:bCs w:val="0"/>
                      <w:sz w:val="24"/>
                      <w:szCs w:val="24"/>
                      <w:lang w:val="en-US" w:eastAsia="zh-CN"/>
                    </w:rPr>
                    <w:t>器</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0311275">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2DFA4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1E32FF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EC2F47">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857216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支撑臂</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7502B8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32131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26679E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0D5F6E">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1BCE3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氧疗鼻塞导管</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3B3D06">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4DF63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r>
            <w:tr w14:paraId="04525B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D37944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953A011">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呼吸管路</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C7C82ED">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DCDFBB4">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r>
            <w:tr w14:paraId="40DD21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C457EB">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91D192C">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面罩</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092DB0">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7AA40BF">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14:paraId="0D0E18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45D3FD2">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3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646BD83">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台车</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736F98">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辆</w:t>
                  </w:r>
                </w:p>
              </w:tc>
              <w:tc>
                <w:tcPr>
                  <w:tcW w:w="79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2FAB59">
                  <w:pPr>
                    <w:pStyle w:val="30"/>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bl>
          <w:p w14:paraId="5E5F51D7">
            <w:pPr>
              <w:ind w:left="0" w:leftChars="0" w:firstLine="0" w:firstLineChars="0"/>
              <w:rPr>
                <w:rFonts w:hint="eastAsia" w:ascii="宋体" w:hAnsi="宋体" w:eastAsia="宋体" w:cs="宋体"/>
                <w:sz w:val="24"/>
                <w:szCs w:val="24"/>
                <w:lang w:val="en-US" w:eastAsia="zh-CN"/>
              </w:rPr>
            </w:pPr>
          </w:p>
        </w:tc>
      </w:tr>
      <w:tr w14:paraId="4E7C7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3A1BB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val="0"/>
                <w:bCs w:val="0"/>
                <w:sz w:val="24"/>
                <w:szCs w:val="24"/>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w:t>
            </w:r>
          </w:p>
        </w:tc>
        <w:tc>
          <w:tcPr>
            <w:tcW w:w="813" w:type="dxa"/>
            <w:vAlign w:val="center"/>
          </w:tcPr>
          <w:p w14:paraId="47600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24</w:t>
            </w:r>
          </w:p>
        </w:tc>
        <w:tc>
          <w:tcPr>
            <w:tcW w:w="6853" w:type="dxa"/>
            <w:vAlign w:val="center"/>
          </w:tcPr>
          <w:p w14:paraId="6BD17E03">
            <w:pPr>
              <w:numPr>
                <w:ilvl w:val="0"/>
                <w:numId w:val="1"/>
              </w:numPr>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配套耗材要求：</w:t>
            </w:r>
          </w:p>
          <w:p w14:paraId="3AD9A1C6">
            <w:pPr>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1、投标人所投设备如需配套专机专用耗材，除依据相关法规不属于医疗器械管理的产品外，所有耗材均须取得国家药品监督管理局颁发的对应注册证明，且须符合《医疗器械分类目录》要求。投标人需在投标文件中提供下列资料进行响应：医疗器械注册证、不作医疗器械管理的证明（需标注对应国食药监械文件号，或提供官方出具的分类界定告知书）、不作为医疗器械管理产品的清晰产品图片（需清晰显示产品名称、规格型号、生产厂家等关键信息）、医疗器械分类相关证明材料。</w:t>
            </w:r>
          </w:p>
        </w:tc>
      </w:tr>
      <w:tr w14:paraId="2539D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0967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val="0"/>
                <w:bCs w:val="0"/>
                <w:sz w:val="24"/>
                <w:szCs w:val="24"/>
              </w:rPr>
            </w:pPr>
            <w:r>
              <w:rPr>
                <w:color w:val="auto"/>
                <w:highlight w:val="none"/>
              </w:rPr>
              <w:t>▲</w:t>
            </w:r>
          </w:p>
        </w:tc>
        <w:tc>
          <w:tcPr>
            <w:tcW w:w="813" w:type="dxa"/>
            <w:vAlign w:val="center"/>
          </w:tcPr>
          <w:p w14:paraId="76044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25</w:t>
            </w:r>
          </w:p>
        </w:tc>
        <w:tc>
          <w:tcPr>
            <w:tcW w:w="6853" w:type="dxa"/>
            <w:vAlign w:val="center"/>
          </w:tcPr>
          <w:p w14:paraId="2F1DBED5">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人所投设备如需配套专用耗材，须在投标文件中完整列明该设备开展检查、治疗项目所需的全部专机专用耗材，明确标注所有产品的型号、规格，以满足医院多元化使用需求。若所投设备无需使用专机专用耗材，除出具相关承诺外，还须提供不少于3个与所投设备适配的耗材品牌，并详细标注产品生产厂家、规格、型号及市场价格。若投标人所投设备无需使用任何耗材，须提供对应承诺函。</w:t>
            </w:r>
          </w:p>
          <w:p w14:paraId="0D698200">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针对本条款上述各项承诺，投标人须在投标阶段同步提交由设备生产厂家、耗材生产厂家及投标人分别出具并加盖公章的承诺函，承诺函格式可由投标人自行拟定。投标人需在投标文件中提供下列资料进行响应：报价表、承诺函。</w:t>
            </w:r>
          </w:p>
        </w:tc>
      </w:tr>
      <w:tr w14:paraId="732A8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85" w:hRule="atLeast"/>
        </w:trPr>
        <w:tc>
          <w:tcPr>
            <w:tcW w:w="1173" w:type="dxa"/>
            <w:vAlign w:val="center"/>
          </w:tcPr>
          <w:p w14:paraId="3D524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color w:val="auto"/>
                <w:highlight w:val="none"/>
              </w:rPr>
            </w:pPr>
            <w:r>
              <w:rPr>
                <w:rFonts w:hint="eastAsia" w:ascii="宋体" w:hAnsi="宋体" w:eastAsia="宋体" w:cs="宋体"/>
                <w:b w:val="0"/>
                <w:bCs w:val="0"/>
                <w:sz w:val="24"/>
                <w:szCs w:val="24"/>
                <w:lang w:val="en-US" w:eastAsia="zh-CN"/>
              </w:rPr>
              <w:t>▲</w:t>
            </w:r>
          </w:p>
        </w:tc>
        <w:tc>
          <w:tcPr>
            <w:tcW w:w="813" w:type="dxa"/>
            <w:vAlign w:val="center"/>
          </w:tcPr>
          <w:p w14:paraId="59A7A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26</w:t>
            </w:r>
          </w:p>
        </w:tc>
        <w:tc>
          <w:tcPr>
            <w:tcW w:w="6853" w:type="dxa"/>
            <w:vAlign w:val="center"/>
          </w:tcPr>
          <w:p w14:paraId="0E26B4D7">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3、投标人所投设备如需配套专用耗材，配套耗材报价应当符合下列要求：</w:t>
            </w:r>
          </w:p>
          <w:p w14:paraId="77DA1D90">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（1）投标人须提供配套耗材的详细报价清单，内容包括但不限于：所有必需耗材的名称、生产企业、规格、型号、注册证号、单价、用途，并明确标注是否为专机专用。</w:t>
            </w:r>
          </w:p>
          <w:p w14:paraId="385C0E5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上述所有承诺，投标人在投标时均需提供由耗材生产厂家及投标人分别出具并加盖公章的承诺函，格式可由投标人自行拟定。</w:t>
            </w:r>
          </w:p>
          <w:p w14:paraId="07A06AD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投标人需在投标文件中提供下列资料对上述需求进行响应：报价表、平台截图、承诺函。</w:t>
            </w:r>
          </w:p>
        </w:tc>
      </w:tr>
      <w:tr w14:paraId="729D0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A739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color w:val="auto"/>
                <w:highlight w:val="none"/>
              </w:rPr>
            </w:pPr>
            <w:r>
              <w:rPr>
                <w:rFonts w:hint="eastAsia"/>
                <w:color w:val="auto"/>
                <w:highlight w:val="none"/>
                <w:lang w:eastAsia="zh-CN"/>
              </w:rPr>
              <w:t>★</w:t>
            </w:r>
          </w:p>
        </w:tc>
        <w:tc>
          <w:tcPr>
            <w:tcW w:w="813" w:type="dxa"/>
            <w:vAlign w:val="center"/>
          </w:tcPr>
          <w:p w14:paraId="0EB5D9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27</w:t>
            </w:r>
          </w:p>
        </w:tc>
        <w:tc>
          <w:tcPr>
            <w:tcW w:w="6853" w:type="dxa"/>
            <w:vAlign w:val="center"/>
          </w:tcPr>
          <w:p w14:paraId="0DB6299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3、（2）所有检查及治疗项目所需的配套耗材均须单独逐项报价，报价表中应当完整列明各项目全流程所需的全部耗材，检查及诊疗所需的核心耗材必须单独报价，所申报的单价均不得超过下述限定价格：</w:t>
            </w:r>
          </w:p>
          <w:p w14:paraId="382DDBE7">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①投标人须承诺所有耗材单价不高于全国各省、市交易平台公布或实际交易的价格，且不高于梅州市最低交易价格。</w:t>
            </w:r>
          </w:p>
          <w:p w14:paraId="7D51D423">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②投标人须承诺在设备使用期内，若采购人需要采购专机专用配套耗材，中标人应当保障产品及时供应，且供应价格不得高于本次投标的承诺单价。</w:t>
            </w:r>
          </w:p>
          <w:p w14:paraId="3C751B79">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③投标人须承诺：在设备使用期内，若配套耗材价格因国家政策调整发生下调，或梅州市其他医疗机构该产品的采购价格低于采购人当前执行价格，投标人须主动告知采购人，并同步将价格下调至对应最低水平。</w:t>
            </w:r>
          </w:p>
          <w:p w14:paraId="6BBFF15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④在设备使用期内，如生产厂家对配套专机专用耗材进行升级，或调整产品规格型号，升级、调整后产品的供应价格不得高于本次投标承诺价格，也不得高于产品升级调整前的供应价格。</w:t>
            </w:r>
          </w:p>
          <w:p w14:paraId="0C775C63">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⑤不得限制医院对耗材规格、型号的自主选择权，不得强制规定每月、每季度、每年的最低采购数量。</w:t>
            </w:r>
          </w:p>
          <w:p w14:paraId="4800E36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⑥若投标人在投标过程中未完整填报所投设备开展检查、治疗项目所需的全部耗材，包括包装规格及型号等，导致无法满足医院多元化使用需求，后续新增产品的供应价格不得高于本次投标同类产品的承诺价格，亦不得高于新增前同类产品的供应价格。且不得因此增加医院的耗材采购成本。</w:t>
            </w:r>
          </w:p>
          <w:p w14:paraId="5FB427F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⑦若上述产品后续纳入广东省医疗保障局规定的国家医疗保障信息平台药品和医用耗材招标采购管理子系统（以下简称新招采子系统）或政府主管部门规定的其他采购平台目录范围，投标人所承诺的价格均需满足可通过该系统进行采购的要求。</w:t>
            </w:r>
          </w:p>
          <w:p w14:paraId="05000F18">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上述所有承诺，投标人在投标时均需提供由耗材生产厂家及投标人分别出具并加盖公章的承诺函，格式可由投标人自行拟定。</w:t>
            </w:r>
          </w:p>
          <w:p w14:paraId="1DF2DF94">
            <w:pPr>
              <w:numPr>
                <w:ilvl w:val="0"/>
                <w:numId w:val="0"/>
              </w:numPr>
              <w:ind w:leftChars="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投标人需在投标文件中提供下列资料对上述需求进行响应：报价表、平台截图、承诺函。</w:t>
            </w:r>
          </w:p>
        </w:tc>
      </w:tr>
      <w:tr w14:paraId="46B0C9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525AA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color w:val="auto"/>
                <w:highlight w:val="none"/>
                <w:lang w:eastAsia="zh-CN"/>
              </w:rPr>
            </w:pPr>
            <w:r>
              <w:rPr>
                <w:rFonts w:hint="eastAsia" w:ascii="仿宋_GB2312" w:hAnsi="仿宋_GB2312" w:eastAsia="仿宋_GB2312" w:cs="仿宋_GB2312"/>
                <w:b w:val="0"/>
                <w:bCs w:val="0"/>
                <w:color w:val="auto"/>
                <w:kern w:val="2"/>
                <w:sz w:val="32"/>
                <w:szCs w:val="32"/>
                <w:highlight w:val="none"/>
                <w:lang w:val="en-US" w:eastAsia="zh-CN" w:bidi="ar-SA"/>
              </w:rPr>
              <w:t>★</w:t>
            </w:r>
          </w:p>
        </w:tc>
        <w:tc>
          <w:tcPr>
            <w:tcW w:w="813" w:type="dxa"/>
            <w:vAlign w:val="center"/>
          </w:tcPr>
          <w:p w14:paraId="6B0E6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28</w:t>
            </w:r>
          </w:p>
        </w:tc>
        <w:tc>
          <w:tcPr>
            <w:tcW w:w="6853" w:type="dxa"/>
            <w:vAlign w:val="center"/>
          </w:tcPr>
          <w:p w14:paraId="5BA612D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4、耗材供应保障</w:t>
            </w:r>
          </w:p>
          <w:p w14:paraId="1287F074">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设备使用期间，如出现或耗材供应中断，供应方须提前一个月予以告知，并提出替代方案。替代方案不得增加医院相关成本。若中断供应超过九十天，医院有权自其他渠道进行采购，由此产生的差价由中标方承担。</w:t>
            </w:r>
          </w:p>
          <w:p w14:paraId="338C7E59">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投标人在投标时，应提供由耗材生产厂家及投标人共同出具的承诺函并加盖公章进行响应，承诺函格式可由投标人自行拟定。</w:t>
            </w:r>
          </w:p>
        </w:tc>
      </w:tr>
      <w:tr w14:paraId="4A9FE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72117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p>
        </w:tc>
        <w:tc>
          <w:tcPr>
            <w:tcW w:w="813" w:type="dxa"/>
            <w:vAlign w:val="center"/>
          </w:tcPr>
          <w:p w14:paraId="7AB41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29</w:t>
            </w:r>
          </w:p>
        </w:tc>
        <w:tc>
          <w:tcPr>
            <w:tcW w:w="6853" w:type="dxa"/>
            <w:vAlign w:val="center"/>
          </w:tcPr>
          <w:p w14:paraId="0ADAC48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5、价格佐证材料</w:t>
            </w:r>
          </w:p>
          <w:p w14:paraId="50C3EBA2">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（1）投标人在投标时，需提供投标时各省市平台公布或交易的价格截图(不少于3个平台，其中至少需含浙江、江苏、京津冀平台中的一个）进行响应。</w:t>
            </w:r>
          </w:p>
          <w:p w14:paraId="0C8A7B4D">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（2）投标人在投标时，需提供近一年其他3家综合性三级甲等医院的采购发票复印件等参考资料进行响应</w:t>
            </w:r>
          </w:p>
        </w:tc>
      </w:tr>
      <w:tr w14:paraId="287D4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7" w:hRule="atLeast"/>
        </w:trPr>
        <w:tc>
          <w:tcPr>
            <w:tcW w:w="1173" w:type="dxa"/>
            <w:vAlign w:val="center"/>
          </w:tcPr>
          <w:p w14:paraId="3E7EA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w:t>
            </w:r>
          </w:p>
        </w:tc>
        <w:tc>
          <w:tcPr>
            <w:tcW w:w="813" w:type="dxa"/>
            <w:vAlign w:val="center"/>
          </w:tcPr>
          <w:p w14:paraId="3D4F9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30</w:t>
            </w:r>
          </w:p>
        </w:tc>
        <w:tc>
          <w:tcPr>
            <w:tcW w:w="6853" w:type="dxa"/>
            <w:vAlign w:val="center"/>
          </w:tcPr>
          <w:p w14:paraId="2EB2075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6、赔偿责任</w:t>
            </w:r>
          </w:p>
          <w:p w14:paraId="0BE67AF6">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若中标方在中标后未能履行投标承诺，招标方有权取消其中标资格。中标方须按照投标总价（即设备金额与两年专用耗材金额之和）的两倍进行赔偿，同时招标方保留追究其进一步法律责任的权利。投标人在投标时，应出具的承诺函并加盖公章进行响应，承诺函格式可由投标人自行拟定。</w:t>
            </w:r>
          </w:p>
        </w:tc>
      </w:tr>
      <w:tr w14:paraId="31806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vAlign w:val="center"/>
          </w:tcPr>
          <w:p w14:paraId="0FDC8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c>
          <w:tcPr>
            <w:tcW w:w="7666" w:type="dxa"/>
            <w:gridSpan w:val="2"/>
            <w:vAlign w:val="center"/>
          </w:tcPr>
          <w:p w14:paraId="2776C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打“★”号条款为实质性条款，若有任何一条负偏离或不满足则导致投标无效。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打“▲”号条款为重要技术参数，若有部分“▲”条款未响应或不满足，将导致其响应性评审加重扣分，但不作为无效投标条款。</w:t>
            </w:r>
          </w:p>
        </w:tc>
      </w:tr>
    </w:tbl>
    <w:p w14:paraId="0C3396E6">
      <w:pPr>
        <w:pStyle w:val="15"/>
        <w:ind w:left="0" w:leftChars="0" w:firstLine="0" w:firstLineChars="0"/>
        <w:rPr>
          <w:rFonts w:hint="eastAsia" w:ascii="方正小标宋简体" w:eastAsia="方正小标宋简体"/>
          <w:sz w:val="44"/>
          <w:szCs w:val="44"/>
        </w:rPr>
      </w:pPr>
    </w:p>
    <w:p w14:paraId="09CCAC81">
      <w:pPr>
        <w:rPr>
          <w:rFonts w:hint="eastAsia" w:ascii="仿宋_GB2312" w:hAnsi="仿宋"/>
          <w:b/>
          <w:szCs w:val="32"/>
        </w:rPr>
      </w:pPr>
      <w:r>
        <w:rPr>
          <w:rFonts w:hint="eastAsia" w:asciiTheme="minorEastAsia" w:hAnsiTheme="minorEastAsia" w:eastAsiaTheme="minorEastAsia" w:cstheme="minorEastAsia"/>
          <w:b/>
          <w:bCs/>
          <w:lang w:eastAsia="zh-CN"/>
        </w:rPr>
        <w:t>二、</w:t>
      </w:r>
      <w:r>
        <w:rPr>
          <w:rFonts w:hint="eastAsia" w:asciiTheme="minorEastAsia" w:hAnsiTheme="minorEastAsia" w:eastAsiaTheme="minorEastAsia" w:cstheme="minorEastAsia"/>
          <w:b/>
          <w:bCs/>
          <w:szCs w:val="32"/>
        </w:rPr>
        <w:t>评审因素及对应的分值、权重：</w:t>
      </w:r>
    </w:p>
    <w:tbl>
      <w:tblPr>
        <w:tblStyle w:val="11"/>
        <w:tblW w:w="100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6789"/>
      </w:tblGrid>
      <w:tr w14:paraId="37340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4D5671E5">
            <w:pPr>
              <w:ind w:left="0" w:leftChars="0" w:firstLine="0" w:firstLineChars="0"/>
              <w:jc w:val="both"/>
              <w:rPr>
                <w:sz w:val="28"/>
                <w:szCs w:val="28"/>
              </w:rPr>
            </w:pPr>
            <w:r>
              <w:rPr>
                <w:sz w:val="28"/>
                <w:szCs w:val="28"/>
              </w:rPr>
              <w:t>评审因素</w:t>
            </w:r>
          </w:p>
        </w:tc>
        <w:tc>
          <w:tcPr>
            <w:tcW w:w="9165" w:type="dxa"/>
            <w:gridSpan w:val="2"/>
            <w:noWrap w:val="0"/>
            <w:vAlign w:val="top"/>
          </w:tcPr>
          <w:p w14:paraId="25B842E8">
            <w:pPr>
              <w:jc w:val="center"/>
              <w:rPr>
                <w:sz w:val="28"/>
                <w:szCs w:val="28"/>
              </w:rPr>
            </w:pPr>
            <w:r>
              <w:rPr>
                <w:sz w:val="28"/>
                <w:szCs w:val="28"/>
              </w:rPr>
              <w:t>评审标准</w:t>
            </w:r>
          </w:p>
        </w:tc>
      </w:tr>
      <w:tr w14:paraId="138EB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2C28C51C">
            <w:pPr>
              <w:ind w:left="0" w:leftChars="0" w:firstLine="0" w:firstLineChars="0"/>
              <w:jc w:val="both"/>
              <w:rPr>
                <w:sz w:val="28"/>
                <w:szCs w:val="28"/>
              </w:rPr>
            </w:pPr>
            <w:r>
              <w:rPr>
                <w:sz w:val="28"/>
                <w:szCs w:val="28"/>
              </w:rPr>
              <w:t>分值构成</w:t>
            </w:r>
          </w:p>
        </w:tc>
        <w:tc>
          <w:tcPr>
            <w:tcW w:w="9165" w:type="dxa"/>
            <w:gridSpan w:val="2"/>
            <w:noWrap w:val="0"/>
            <w:vAlign w:val="top"/>
          </w:tcPr>
          <w:p w14:paraId="021F3399">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61</w:t>
            </w:r>
            <w:r>
              <w:rPr>
                <w:sz w:val="28"/>
                <w:szCs w:val="28"/>
              </w:rPr>
              <w:t>.0分</w:t>
            </w:r>
          </w:p>
          <w:p w14:paraId="59637F6C">
            <w:pPr>
              <w:ind w:left="0" w:leftChars="0" w:firstLine="0" w:firstLineChars="0"/>
            </w:pPr>
            <w:r>
              <w:rPr>
                <w:rFonts w:hint="eastAsia"/>
                <w:sz w:val="28"/>
                <w:szCs w:val="28"/>
                <w:lang w:val="en-US" w:eastAsia="zh-CN"/>
              </w:rPr>
              <w:t>商务</w:t>
            </w:r>
            <w:r>
              <w:rPr>
                <w:sz w:val="28"/>
                <w:szCs w:val="28"/>
              </w:rPr>
              <w:t>部分</w:t>
            </w:r>
            <w:r>
              <w:rPr>
                <w:rFonts w:hint="eastAsia"/>
                <w:sz w:val="28"/>
                <w:szCs w:val="28"/>
                <w:lang w:val="en-US" w:eastAsia="zh-CN"/>
              </w:rPr>
              <w:t>9</w:t>
            </w:r>
            <w:r>
              <w:rPr>
                <w:sz w:val="28"/>
                <w:szCs w:val="28"/>
              </w:rPr>
              <w:t>.0分</w:t>
            </w:r>
          </w:p>
          <w:p w14:paraId="76D7E49D">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260A4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51A82D8E">
            <w:pPr>
              <w:ind w:left="0" w:leftChars="0" w:firstLine="0" w:firstLineChars="0"/>
              <w:jc w:val="both"/>
              <w:rPr>
                <w:sz w:val="28"/>
                <w:szCs w:val="28"/>
              </w:rPr>
            </w:pPr>
            <w:r>
              <w:rPr>
                <w:sz w:val="28"/>
                <w:szCs w:val="28"/>
              </w:rPr>
              <w:t>技术部分</w:t>
            </w:r>
          </w:p>
        </w:tc>
        <w:tc>
          <w:tcPr>
            <w:tcW w:w="2376" w:type="dxa"/>
            <w:noWrap w:val="0"/>
            <w:vAlign w:val="top"/>
          </w:tcPr>
          <w:p w14:paraId="4F4468E0">
            <w:pPr>
              <w:ind w:left="0" w:leftChars="0" w:firstLine="0" w:firstLineChars="0"/>
              <w:jc w:val="left"/>
              <w:rPr>
                <w:sz w:val="28"/>
                <w:szCs w:val="28"/>
              </w:rPr>
            </w:pPr>
            <w:r>
              <w:rPr>
                <w:sz w:val="28"/>
                <w:szCs w:val="28"/>
              </w:rPr>
              <w:t>重要技术条款响应  (</w:t>
            </w:r>
            <w:r>
              <w:rPr>
                <w:rFonts w:hint="eastAsia"/>
                <w:sz w:val="28"/>
                <w:szCs w:val="28"/>
                <w:lang w:val="en-US" w:eastAsia="zh-CN"/>
              </w:rPr>
              <w:t>33</w:t>
            </w:r>
            <w:r>
              <w:rPr>
                <w:sz w:val="28"/>
                <w:szCs w:val="28"/>
              </w:rPr>
              <w:t>.0分)</w:t>
            </w:r>
          </w:p>
        </w:tc>
        <w:tc>
          <w:tcPr>
            <w:tcW w:w="6789" w:type="dxa"/>
            <w:noWrap w:val="0"/>
            <w:vAlign w:val="top"/>
          </w:tcPr>
          <w:p w14:paraId="6840ECC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重要技术条款响应（</w:t>
            </w:r>
            <w:r>
              <w:rPr>
                <w:rFonts w:hint="eastAsia" w:ascii="仿宋" w:hAnsi="仿宋" w:eastAsia="仿宋" w:cs="仿宋"/>
                <w:color w:val="auto"/>
                <w:sz w:val="28"/>
                <w:szCs w:val="28"/>
                <w:shd w:val="clear" w:color="auto" w:fill="auto"/>
                <w:lang w:val="en-US" w:eastAsia="zh-CN"/>
              </w:rPr>
              <w:t>33</w:t>
            </w:r>
            <w:r>
              <w:rPr>
                <w:sz w:val="28"/>
                <w:szCs w:val="28"/>
              </w:rPr>
              <w:t>.0</w:t>
            </w:r>
            <w:r>
              <w:rPr>
                <w:rFonts w:hint="eastAsia" w:ascii="仿宋" w:hAnsi="仿宋" w:eastAsia="仿宋" w:cs="仿宋"/>
                <w:color w:val="auto"/>
                <w:sz w:val="28"/>
                <w:szCs w:val="28"/>
                <w:shd w:val="clear" w:color="auto" w:fill="auto"/>
              </w:rPr>
              <w:t>分）</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rPr>
              <w:t>根据各投标人对</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文件技术要求中“▲”条款（共</w:t>
            </w:r>
            <w:r>
              <w:rPr>
                <w:rFonts w:hint="eastAsia" w:ascii="仿宋" w:hAnsi="仿宋" w:eastAsia="仿宋" w:cs="仿宋"/>
                <w:color w:val="auto"/>
                <w:sz w:val="28"/>
                <w:szCs w:val="28"/>
                <w:shd w:val="clear" w:color="auto" w:fill="auto"/>
                <w:lang w:val="en-US" w:eastAsia="zh-CN"/>
              </w:rPr>
              <w:t>11</w:t>
            </w:r>
            <w:r>
              <w:rPr>
                <w:rFonts w:hint="eastAsia" w:ascii="仿宋" w:hAnsi="仿宋" w:eastAsia="仿宋" w:cs="仿宋"/>
                <w:color w:val="auto"/>
                <w:sz w:val="28"/>
                <w:szCs w:val="28"/>
                <w:shd w:val="clear" w:color="auto" w:fill="auto"/>
              </w:rPr>
              <w:t>条）的响应程度进行评分： 全部响应得</w:t>
            </w:r>
            <w:r>
              <w:rPr>
                <w:rFonts w:hint="eastAsia" w:ascii="仿宋" w:hAnsi="仿宋" w:eastAsia="仿宋" w:cs="仿宋"/>
                <w:color w:val="auto"/>
                <w:sz w:val="28"/>
                <w:szCs w:val="28"/>
                <w:shd w:val="clear" w:color="auto" w:fill="auto"/>
                <w:lang w:val="en-US" w:eastAsia="zh-CN"/>
              </w:rPr>
              <w:t>33</w:t>
            </w:r>
            <w:r>
              <w:rPr>
                <w:sz w:val="28"/>
                <w:szCs w:val="28"/>
              </w:rPr>
              <w:t>.0</w:t>
            </w:r>
            <w:r>
              <w:rPr>
                <w:rFonts w:hint="eastAsia" w:ascii="仿宋" w:hAnsi="仿宋" w:eastAsia="仿宋" w:cs="仿宋"/>
                <w:color w:val="auto"/>
                <w:sz w:val="28"/>
                <w:szCs w:val="28"/>
                <w:shd w:val="clear" w:color="auto" w:fill="auto"/>
              </w:rPr>
              <w:t>分，每有一项不响应的扣</w:t>
            </w:r>
            <w:r>
              <w:rPr>
                <w:rFonts w:hint="eastAsia" w:ascii="仿宋" w:hAnsi="仿宋" w:eastAsia="仿宋" w:cs="仿宋"/>
                <w:color w:val="auto"/>
                <w:sz w:val="28"/>
                <w:szCs w:val="28"/>
                <w:shd w:val="clear" w:color="auto" w:fill="auto"/>
                <w:lang w:val="en-US" w:eastAsia="zh-CN"/>
              </w:rPr>
              <w:t>3</w:t>
            </w:r>
            <w:r>
              <w:rPr>
                <w:sz w:val="28"/>
                <w:szCs w:val="28"/>
              </w:rPr>
              <w:t>.0</w:t>
            </w:r>
            <w:r>
              <w:rPr>
                <w:rFonts w:hint="eastAsia" w:ascii="仿宋" w:hAnsi="仿宋" w:eastAsia="仿宋" w:cs="仿宋"/>
                <w:color w:val="auto"/>
                <w:sz w:val="28"/>
                <w:szCs w:val="28"/>
                <w:shd w:val="clear" w:color="auto" w:fill="auto"/>
              </w:rPr>
              <w:t>分。</w:t>
            </w:r>
          </w:p>
          <w:p w14:paraId="570D66C4">
            <w:pPr>
              <w:jc w:val="left"/>
              <w:rPr>
                <w:sz w:val="28"/>
                <w:szCs w:val="28"/>
              </w:rPr>
            </w:pPr>
            <w:r>
              <w:rPr>
                <w:rFonts w:hint="eastAsia" w:ascii="仿宋" w:hAnsi="仿宋" w:eastAsia="仿宋" w:cs="仿宋"/>
                <w:color w:val="auto"/>
                <w:sz w:val="28"/>
                <w:szCs w:val="28"/>
                <w:shd w:val="clear" w:color="auto" w:fill="auto"/>
              </w:rPr>
              <w:t>所有投标人须提供投标产品彩页及相应技术参数的厂家使用说明书作为技术证明文件，否则</w:t>
            </w:r>
            <w:r>
              <w:rPr>
                <w:rFonts w:hint="eastAsia" w:ascii="仿宋" w:hAnsi="仿宋" w:eastAsia="仿宋" w:cs="仿宋"/>
                <w:color w:val="auto"/>
                <w:sz w:val="28"/>
                <w:szCs w:val="28"/>
                <w:shd w:val="clear" w:color="auto" w:fill="auto"/>
                <w:lang w:eastAsia="zh-CN"/>
              </w:rPr>
              <w:t>采购人</w:t>
            </w:r>
            <w:r>
              <w:rPr>
                <w:rFonts w:hint="eastAsia" w:ascii="仿宋" w:hAnsi="仿宋" w:eastAsia="仿宋" w:cs="仿宋"/>
                <w:color w:val="auto"/>
                <w:sz w:val="28"/>
                <w:szCs w:val="28"/>
                <w:shd w:val="clear" w:color="auto" w:fill="auto"/>
              </w:rPr>
              <w:t>有权视相应技术参数响应不符合</w:t>
            </w:r>
            <w:r>
              <w:rPr>
                <w:rFonts w:hint="eastAsia" w:ascii="仿宋" w:hAnsi="仿宋" w:eastAsia="仿宋" w:cs="仿宋"/>
                <w:color w:val="auto"/>
                <w:sz w:val="28"/>
                <w:szCs w:val="28"/>
                <w:shd w:val="clear" w:color="auto" w:fill="auto"/>
                <w:lang w:eastAsia="zh-CN"/>
              </w:rPr>
              <w:t>采购</w:t>
            </w:r>
            <w:r>
              <w:rPr>
                <w:rFonts w:hint="eastAsia" w:ascii="仿宋" w:hAnsi="仿宋" w:eastAsia="仿宋" w:cs="仿宋"/>
                <w:color w:val="auto"/>
                <w:sz w:val="28"/>
                <w:szCs w:val="28"/>
                <w:shd w:val="clear" w:color="auto" w:fill="auto"/>
              </w:rPr>
              <w:t xml:space="preserve">要求（如厂家的产品使用说明书为英文版，请同时提供中文版）。 </w:t>
            </w:r>
          </w:p>
        </w:tc>
      </w:tr>
      <w:tr w14:paraId="432F1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490C50FC">
            <w:pPr>
              <w:jc w:val="center"/>
              <w:rPr>
                <w:sz w:val="28"/>
                <w:szCs w:val="28"/>
              </w:rPr>
            </w:pPr>
          </w:p>
        </w:tc>
        <w:tc>
          <w:tcPr>
            <w:tcW w:w="2376" w:type="dxa"/>
            <w:noWrap w:val="0"/>
            <w:vAlign w:val="top"/>
          </w:tcPr>
          <w:p w14:paraId="4510AEFC">
            <w:pPr>
              <w:ind w:left="0" w:leftChars="0" w:firstLine="0" w:firstLineChars="0"/>
              <w:jc w:val="left"/>
              <w:rPr>
                <w:sz w:val="28"/>
                <w:szCs w:val="28"/>
              </w:rPr>
            </w:pPr>
            <w:r>
              <w:rPr>
                <w:sz w:val="28"/>
                <w:szCs w:val="28"/>
              </w:rPr>
              <w:t>一般技术条款响应 (</w:t>
            </w:r>
            <w:r>
              <w:rPr>
                <w:rFonts w:hint="eastAsia"/>
                <w:sz w:val="28"/>
                <w:szCs w:val="28"/>
                <w:lang w:val="en-US" w:eastAsia="zh-CN"/>
              </w:rPr>
              <w:t>10</w:t>
            </w:r>
            <w:r>
              <w:rPr>
                <w:sz w:val="28"/>
                <w:szCs w:val="28"/>
              </w:rPr>
              <w:t>.0分)</w:t>
            </w:r>
          </w:p>
        </w:tc>
        <w:tc>
          <w:tcPr>
            <w:tcW w:w="6789" w:type="dxa"/>
            <w:noWrap w:val="0"/>
            <w:vAlign w:val="top"/>
          </w:tcPr>
          <w:p w14:paraId="3285D5ED">
            <w:pPr>
              <w:jc w:val="left"/>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val="en-US" w:eastAsia="zh-CN"/>
              </w:rPr>
              <w:t>所投货物技术参数及性能与技术规格要求的符合性（10</w:t>
            </w:r>
            <w:r>
              <w:rPr>
                <w:sz w:val="28"/>
                <w:szCs w:val="28"/>
              </w:rPr>
              <w:t>.0</w:t>
            </w:r>
            <w:r>
              <w:rPr>
                <w:rFonts w:hint="eastAsia" w:ascii="仿宋" w:hAnsi="仿宋" w:eastAsia="仿宋" w:cs="仿宋"/>
                <w:color w:val="auto"/>
                <w:sz w:val="28"/>
                <w:szCs w:val="28"/>
                <w:shd w:val="clear" w:color="auto" w:fill="auto"/>
                <w:lang w:val="en-US" w:eastAsia="zh-CN"/>
              </w:rPr>
              <w:t>分）：</w:t>
            </w:r>
            <w:r>
              <w:rPr>
                <w:rFonts w:hint="eastAsia" w:ascii="仿宋" w:hAnsi="仿宋" w:eastAsia="仿宋" w:cs="仿宋"/>
                <w:color w:val="auto"/>
                <w:sz w:val="28"/>
                <w:szCs w:val="28"/>
                <w:shd w:val="clear" w:color="auto" w:fill="auto"/>
                <w:lang w:eastAsia="zh-CN"/>
              </w:rPr>
              <w:t>根据各投标人对采购文件技术要求中一般条款（共</w:t>
            </w:r>
            <w:r>
              <w:rPr>
                <w:rFonts w:hint="eastAsia" w:ascii="仿宋" w:hAnsi="仿宋" w:eastAsia="仿宋" w:cs="仿宋"/>
                <w:color w:val="auto"/>
                <w:sz w:val="28"/>
                <w:szCs w:val="28"/>
                <w:shd w:val="clear" w:color="auto" w:fill="auto"/>
                <w:lang w:val="en-US" w:eastAsia="zh-CN"/>
              </w:rPr>
              <w:t>10</w:t>
            </w:r>
            <w:r>
              <w:rPr>
                <w:rFonts w:hint="eastAsia" w:ascii="仿宋" w:hAnsi="仿宋" w:eastAsia="仿宋" w:cs="仿宋"/>
                <w:color w:val="auto"/>
                <w:sz w:val="28"/>
                <w:szCs w:val="28"/>
                <w:shd w:val="clear" w:color="auto" w:fill="auto"/>
                <w:lang w:eastAsia="zh-CN"/>
              </w:rPr>
              <w:t>条）的响应程度进行评分： 全部响应得</w:t>
            </w:r>
            <w:r>
              <w:rPr>
                <w:rFonts w:hint="eastAsia" w:ascii="仿宋" w:hAnsi="仿宋" w:eastAsia="仿宋" w:cs="仿宋"/>
                <w:color w:val="auto"/>
                <w:sz w:val="28"/>
                <w:szCs w:val="28"/>
                <w:shd w:val="clear" w:color="auto" w:fill="auto"/>
                <w:lang w:val="en-US" w:eastAsia="zh-CN"/>
              </w:rPr>
              <w:t>10</w:t>
            </w:r>
            <w:r>
              <w:rPr>
                <w:sz w:val="28"/>
                <w:szCs w:val="28"/>
              </w:rPr>
              <w:t>.0</w:t>
            </w:r>
            <w:r>
              <w:rPr>
                <w:rFonts w:hint="eastAsia" w:ascii="仿宋" w:hAnsi="仿宋" w:eastAsia="仿宋" w:cs="仿宋"/>
                <w:color w:val="auto"/>
                <w:sz w:val="28"/>
                <w:szCs w:val="28"/>
                <w:shd w:val="clear" w:color="auto" w:fill="auto"/>
                <w:lang w:eastAsia="zh-CN"/>
              </w:rPr>
              <w:t>分，每有一项不响应的扣</w:t>
            </w:r>
            <w:r>
              <w:rPr>
                <w:rFonts w:hint="eastAsia" w:ascii="仿宋" w:hAnsi="仿宋" w:eastAsia="仿宋" w:cs="仿宋"/>
                <w:color w:val="auto"/>
                <w:sz w:val="28"/>
                <w:szCs w:val="28"/>
                <w:shd w:val="clear" w:color="auto" w:fill="auto"/>
                <w:lang w:val="en-US" w:eastAsia="zh-CN"/>
              </w:rPr>
              <w:t>1</w:t>
            </w:r>
            <w:r>
              <w:rPr>
                <w:sz w:val="28"/>
                <w:szCs w:val="28"/>
              </w:rPr>
              <w:t>.0</w:t>
            </w:r>
            <w:r>
              <w:rPr>
                <w:rFonts w:hint="eastAsia" w:ascii="仿宋" w:hAnsi="仿宋" w:eastAsia="仿宋" w:cs="仿宋"/>
                <w:color w:val="auto"/>
                <w:sz w:val="28"/>
                <w:szCs w:val="28"/>
                <w:shd w:val="clear" w:color="auto" w:fill="auto"/>
                <w:lang w:eastAsia="zh-CN"/>
              </w:rPr>
              <w:t xml:space="preserve">分。 </w:t>
            </w:r>
          </w:p>
          <w:p w14:paraId="683E6470">
            <w:pPr>
              <w:jc w:val="left"/>
            </w:pPr>
            <w:r>
              <w:rPr>
                <w:rFonts w:hint="eastAsia" w:ascii="仿宋" w:hAnsi="仿宋" w:eastAsia="仿宋" w:cs="仿宋"/>
                <w:color w:val="auto"/>
                <w:sz w:val="28"/>
                <w:szCs w:val="28"/>
                <w:shd w:val="clear" w:color="auto" w:fill="auto"/>
                <w:lang w:eastAsia="zh-CN"/>
              </w:rPr>
              <w:t>所有投标人须提供投标产品彩页及相应技术参数的厂家使用说明书作为技术证明文件，否则采购人有权视相应技术参数响应不符合采购要求（如厂家的产品使用说明书为英文版，请同时提供中文版）</w:t>
            </w:r>
          </w:p>
        </w:tc>
      </w:tr>
      <w:tr w14:paraId="7FFEE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4B50311B">
            <w:pPr>
              <w:ind w:left="0" w:leftChars="0" w:firstLine="0" w:firstLineChars="0"/>
              <w:jc w:val="both"/>
              <w:rPr>
                <w:rFonts w:hint="eastAsia"/>
                <w:sz w:val="28"/>
                <w:szCs w:val="28"/>
                <w:lang w:val="en-US" w:eastAsia="zh-CN"/>
              </w:rPr>
            </w:pPr>
          </w:p>
        </w:tc>
        <w:tc>
          <w:tcPr>
            <w:tcW w:w="2376" w:type="dxa"/>
            <w:noWrap w:val="0"/>
            <w:vAlign w:val="top"/>
          </w:tcPr>
          <w:p w14:paraId="1156B150">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质量保证方案 (6.0分)</w:t>
            </w:r>
          </w:p>
        </w:tc>
        <w:tc>
          <w:tcPr>
            <w:tcW w:w="6789" w:type="dxa"/>
            <w:noWrap w:val="0"/>
            <w:vAlign w:val="top"/>
          </w:tcPr>
          <w:p w14:paraId="5E9CC78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根据投标人针对本项目所提供的质量保证方案，方案内容包括但不限于质保年限、质量保证目标、质量保障措施等内容、提供备品备件服务等内容进行评审：</w:t>
            </w:r>
          </w:p>
          <w:p w14:paraId="2B9DC9F0">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所提供的质保年限和质量保证目标、质量保障措施方案内容详细，有完整合理的部署规划，有安排人员负责响应采购人的维修要求及服务过程中的沟通，有完整可行操作的维修处理方法，对日常维修和应急情况响应及时，优于或完全满足项目要求的得6.0分；</w:t>
            </w:r>
          </w:p>
          <w:p w14:paraId="6378484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所提供的质保年限和质量保证目标、质量保障措施方案基本完整，部署规划基本合理，有安排人员负责响应采购人的维修要求及服务过程中的沟通，维修处理方法基本合理可行，对日常维修和应急情况响应较及时，基本满足项目要求的得4.0分；</w:t>
            </w:r>
          </w:p>
          <w:p w14:paraId="5527ACE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只提供了简单的售后服务方案，投标人有提供质保期年限和质量保证目标、质量保障措施方案，但内容不详细，部署规划不合理，有人员响应采购人的维修要求及服务过程中的沟通，有基本的操作的维修处理方法，对日常维修和应急情况响应不及时，部分满足项目要求的得2.0分；</w:t>
            </w:r>
          </w:p>
          <w:p w14:paraId="058E9386">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10DBC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5" w:hRule="atLeast"/>
        </w:trPr>
        <w:tc>
          <w:tcPr>
            <w:tcW w:w="853" w:type="dxa"/>
            <w:vMerge w:val="continue"/>
            <w:noWrap w:val="0"/>
            <w:vAlign w:val="top"/>
          </w:tcPr>
          <w:p w14:paraId="78F64308">
            <w:pPr>
              <w:ind w:left="0" w:leftChars="0" w:firstLine="0" w:firstLineChars="0"/>
              <w:jc w:val="both"/>
              <w:rPr>
                <w:rFonts w:hint="eastAsia"/>
                <w:sz w:val="28"/>
                <w:szCs w:val="28"/>
                <w:lang w:val="en-US" w:eastAsia="zh-CN"/>
              </w:rPr>
            </w:pPr>
          </w:p>
        </w:tc>
        <w:tc>
          <w:tcPr>
            <w:tcW w:w="2376" w:type="dxa"/>
            <w:noWrap w:val="0"/>
            <w:vAlign w:val="top"/>
          </w:tcPr>
          <w:p w14:paraId="5E7E1354">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项目实施方案 (6.0分)</w:t>
            </w:r>
          </w:p>
        </w:tc>
        <w:tc>
          <w:tcPr>
            <w:tcW w:w="6789" w:type="dxa"/>
            <w:noWrap w:val="0"/>
            <w:vAlign w:val="top"/>
          </w:tcPr>
          <w:p w14:paraId="1B118183">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根据投标人针对本项目所提供的项目实施方案（不包括售后服务和培训方案），包括但不限于项目到货计划、项目实施计划、项目运输保障、安装调试（如计划步骤、人员安排等）等内容进行评审：</w:t>
            </w:r>
          </w:p>
          <w:p w14:paraId="0DC792EB">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（1）投标人针对本项目有明确具体的计划安排、对每个标的设备的运输过程有针对性保障手段、设备到场时的专人安装调试有明确的安排措施，优于或完全满足采购需求得6.0分；</w:t>
            </w:r>
          </w:p>
          <w:p w14:paraId="466391A3">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（2）投标人针对本项目有明确的计划安排、对设备的运输过程有基本的保障手段、设备到场时的专人安装调试有基本的安排措施，基本满足采购需求得4.0分；</w:t>
            </w:r>
          </w:p>
          <w:p w14:paraId="058C4B54">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lang w:val="en-US" w:eastAsia="zh-CN"/>
              </w:rPr>
              <w:t>（3）投标人针对本项目有简单的计划安排、对设备的运输过程有简单的保障手段、设备到场时的专人安装调试有简单的安排措施，部分满足采购需求得2.0分；</w:t>
            </w:r>
          </w:p>
          <w:p w14:paraId="55BC49D9">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lang w:val="en-US" w:eastAsia="zh-CN"/>
              </w:rPr>
              <w:t>（4）不提供的不得分。</w:t>
            </w:r>
          </w:p>
        </w:tc>
      </w:tr>
      <w:tr w14:paraId="38B79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94" w:hRule="atLeast"/>
        </w:trPr>
        <w:tc>
          <w:tcPr>
            <w:tcW w:w="853" w:type="dxa"/>
            <w:vMerge w:val="continue"/>
            <w:noWrap w:val="0"/>
            <w:vAlign w:val="top"/>
          </w:tcPr>
          <w:p w14:paraId="170BF1A8">
            <w:pPr>
              <w:ind w:left="0" w:leftChars="0" w:firstLine="0" w:firstLineChars="0"/>
              <w:jc w:val="both"/>
              <w:rPr>
                <w:rFonts w:hint="eastAsia"/>
                <w:sz w:val="28"/>
                <w:szCs w:val="28"/>
                <w:lang w:val="en-US" w:eastAsia="zh-CN"/>
              </w:rPr>
            </w:pPr>
          </w:p>
        </w:tc>
        <w:tc>
          <w:tcPr>
            <w:tcW w:w="2376" w:type="dxa"/>
            <w:noWrap w:val="0"/>
            <w:vAlign w:val="top"/>
          </w:tcPr>
          <w:p w14:paraId="7DF02190">
            <w:pPr>
              <w:ind w:left="0" w:leftChars="0" w:firstLine="0" w:firstLineChars="0"/>
              <w:jc w:val="left"/>
              <w:rPr>
                <w:rFonts w:hint="eastAsia" w:ascii="仿宋" w:hAnsi="仿宋" w:eastAsia="仿宋" w:cs="仿宋"/>
                <w:sz w:val="28"/>
                <w:szCs w:val="28"/>
              </w:rPr>
            </w:pPr>
            <w:r>
              <w:rPr>
                <w:rFonts w:hint="eastAsia" w:ascii="仿宋" w:hAnsi="仿宋" w:eastAsia="仿宋" w:cs="仿宋"/>
                <w:color w:val="auto"/>
                <w:sz w:val="28"/>
                <w:szCs w:val="28"/>
                <w:highlight w:val="none"/>
                <w:shd w:val="clear" w:color="auto" w:fill="auto"/>
              </w:rPr>
              <w:t>培训方案 (</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.0分)</w:t>
            </w:r>
          </w:p>
        </w:tc>
        <w:tc>
          <w:tcPr>
            <w:tcW w:w="6789" w:type="dxa"/>
            <w:noWrap w:val="0"/>
            <w:vAlign w:val="top"/>
          </w:tcPr>
          <w:p w14:paraId="7D2A5B2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highlight w:val="none"/>
                <w:shd w:val="clear" w:color="auto" w:fill="auto"/>
                <w:lang w:eastAsia="zh-CN"/>
              </w:rPr>
              <w:t>投标</w:t>
            </w:r>
            <w:r>
              <w:rPr>
                <w:rFonts w:hint="eastAsia" w:ascii="仿宋" w:hAnsi="仿宋" w:eastAsia="仿宋" w:cs="仿宋"/>
                <w:color w:val="auto"/>
                <w:sz w:val="28"/>
                <w:szCs w:val="28"/>
                <w:shd w:val="clear" w:color="auto" w:fill="auto"/>
                <w:lang w:eastAsia="zh-CN"/>
              </w:rPr>
              <w:t>人根据产品特点及保养事项对采购人所使用设备人员提供设备操作及操作过程中注意事项等内容进行培训：</w:t>
            </w:r>
          </w:p>
          <w:p w14:paraId="04473802">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1）投标人针对本项目为采购人提供有专人指导和简单上手的设备操作培训课程安排，有明确的课程及培训内容安排，对设备的操作过程中注意事项有详细指引，对特殊情况（如设备反复重启，操作失灵，错误操作等情况）有图文详解及完整应对培训的，得</w:t>
            </w: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.0</w:t>
            </w:r>
            <w:r>
              <w:rPr>
                <w:rFonts w:hint="eastAsia" w:ascii="仿宋" w:hAnsi="仿宋" w:eastAsia="仿宋" w:cs="仿宋"/>
                <w:color w:val="auto"/>
                <w:sz w:val="28"/>
                <w:szCs w:val="28"/>
                <w:shd w:val="clear" w:color="auto" w:fill="auto"/>
                <w:lang w:eastAsia="zh-CN"/>
              </w:rPr>
              <w:t>分；</w:t>
            </w:r>
          </w:p>
          <w:p w14:paraId="1D55D07E">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（2）投标人针对本项目为采购人提供有专人指导和简单上手的设备操作培训课程安排，有简单的课程及培训内容安排，对设备的操作过程中注意事项有基本操作指引，得</w:t>
            </w:r>
            <w:r>
              <w:rPr>
                <w:rFonts w:hint="eastAsia" w:ascii="仿宋" w:hAnsi="仿宋" w:eastAsia="仿宋" w:cs="仿宋"/>
                <w:color w:val="auto"/>
                <w:sz w:val="28"/>
                <w:szCs w:val="28"/>
                <w:shd w:val="clear" w:color="auto" w:fill="auto"/>
                <w:lang w:val="en-US" w:eastAsia="zh-CN"/>
              </w:rPr>
              <w:t>4.0</w:t>
            </w:r>
            <w:r>
              <w:rPr>
                <w:rFonts w:hint="eastAsia" w:ascii="仿宋" w:hAnsi="仿宋" w:eastAsia="仿宋" w:cs="仿宋"/>
                <w:color w:val="auto"/>
                <w:sz w:val="28"/>
                <w:szCs w:val="28"/>
                <w:shd w:val="clear" w:color="auto" w:fill="auto"/>
                <w:lang w:eastAsia="zh-CN"/>
              </w:rPr>
              <w:t>分；</w:t>
            </w:r>
          </w:p>
          <w:p w14:paraId="149693E8">
            <w:pPr>
              <w:keepNext w:val="0"/>
              <w:keepLines w:val="0"/>
              <w:suppressLineNumbers w:val="0"/>
              <w:snapToGrid w:val="0"/>
              <w:spacing w:before="0" w:beforeAutospacing="0" w:after="0" w:afterAutospacing="0" w:line="276" w:lineRule="auto"/>
              <w:ind w:left="0" w:right="0"/>
              <w:rPr>
                <w:rFonts w:hint="eastAsia" w:ascii="仿宋" w:hAnsi="仿宋" w:eastAsia="仿宋" w:cs="仿宋"/>
                <w:color w:val="auto"/>
                <w:sz w:val="28"/>
                <w:szCs w:val="28"/>
                <w:shd w:val="clear" w:color="auto" w:fill="auto"/>
                <w:lang w:eastAsia="zh-CN"/>
              </w:rPr>
            </w:pPr>
            <w:r>
              <w:rPr>
                <w:rFonts w:hint="eastAsia" w:ascii="仿宋" w:hAnsi="仿宋" w:eastAsia="仿宋" w:cs="仿宋"/>
                <w:color w:val="auto"/>
                <w:sz w:val="28"/>
                <w:szCs w:val="28"/>
                <w:shd w:val="clear" w:color="auto" w:fill="auto"/>
                <w:lang w:eastAsia="zh-CN"/>
              </w:rPr>
              <w:t>（3）投标人提供指导和培训课程安排简单含糊，课程及培训内容安排不明确，对操作培训含糊其辞，得</w:t>
            </w:r>
            <w:r>
              <w:rPr>
                <w:rFonts w:hint="eastAsia" w:ascii="仿宋" w:hAnsi="仿宋" w:eastAsia="仿宋" w:cs="仿宋"/>
                <w:color w:val="auto"/>
                <w:sz w:val="28"/>
                <w:szCs w:val="28"/>
                <w:shd w:val="clear" w:color="auto" w:fill="auto"/>
                <w:lang w:val="en-US" w:eastAsia="zh-CN"/>
              </w:rPr>
              <w:t>2.0</w:t>
            </w:r>
            <w:r>
              <w:rPr>
                <w:rFonts w:hint="eastAsia" w:ascii="仿宋" w:hAnsi="仿宋" w:eastAsia="仿宋" w:cs="仿宋"/>
                <w:color w:val="auto"/>
                <w:sz w:val="28"/>
                <w:szCs w:val="28"/>
                <w:shd w:val="clear" w:color="auto" w:fill="auto"/>
                <w:lang w:eastAsia="zh-CN"/>
              </w:rPr>
              <w:t xml:space="preserve">分； </w:t>
            </w:r>
          </w:p>
          <w:p w14:paraId="471025E7">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eastAsia="zh-CN"/>
              </w:rPr>
              <w:t>（4）不提供的不得分。</w:t>
            </w:r>
          </w:p>
        </w:tc>
      </w:tr>
      <w:tr w14:paraId="5BE9F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8" w:hRule="atLeast"/>
        </w:trPr>
        <w:tc>
          <w:tcPr>
            <w:tcW w:w="853" w:type="dxa"/>
            <w:vMerge w:val="restart"/>
            <w:noWrap w:val="0"/>
            <w:vAlign w:val="top"/>
          </w:tcPr>
          <w:p w14:paraId="2FDB5BEA">
            <w:pPr>
              <w:ind w:left="0" w:leftChars="0" w:firstLine="0" w:firstLineChars="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商务部分</w:t>
            </w:r>
          </w:p>
        </w:tc>
        <w:tc>
          <w:tcPr>
            <w:tcW w:w="2376" w:type="dxa"/>
            <w:noWrap w:val="0"/>
            <w:vAlign w:val="top"/>
          </w:tcPr>
          <w:p w14:paraId="0BB94064">
            <w:pPr>
              <w:ind w:left="0" w:lef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lang w:val="en-US" w:eastAsia="zh-CN"/>
              </w:rPr>
              <w:t>投标人的信用、体系认证情况（1.0分）</w:t>
            </w:r>
          </w:p>
        </w:tc>
        <w:tc>
          <w:tcPr>
            <w:tcW w:w="6789" w:type="dxa"/>
            <w:noWrap w:val="0"/>
            <w:vAlign w:val="center"/>
          </w:tcPr>
          <w:p w14:paraId="41D48031">
            <w:pPr>
              <w:keepNext w:val="0"/>
              <w:keepLines w:val="0"/>
              <w:suppressLineNumbers w:val="0"/>
              <w:snapToGrid w:val="0"/>
              <w:spacing w:before="0" w:beforeAutospacing="0" w:after="0" w:afterAutospacing="0" w:line="276" w:lineRule="auto"/>
              <w:ind w:left="0" w:right="0"/>
              <w:rPr>
                <w:rFonts w:hint="eastAsia" w:ascii="仿宋" w:hAnsi="仿宋" w:eastAsia="仿宋" w:cs="仿宋"/>
                <w:kern w:val="2"/>
                <w:sz w:val="28"/>
                <w:szCs w:val="28"/>
                <w:lang w:val="en-US" w:eastAsia="zh-CN" w:bidi="ar-SA"/>
              </w:rPr>
            </w:pPr>
            <w:r>
              <w:rPr>
                <w:rFonts w:hint="eastAsia" w:ascii="仿宋" w:hAnsi="仿宋" w:eastAsia="仿宋" w:cs="仿宋"/>
                <w:color w:val="auto"/>
                <w:sz w:val="28"/>
                <w:szCs w:val="28"/>
                <w:shd w:val="clear" w:color="auto" w:fill="auto"/>
              </w:rPr>
              <w:t>投标人具有有效期内的有效的质量管理体系认证证书，提供认证证书扫描件</w:t>
            </w:r>
            <w:r>
              <w:rPr>
                <w:rFonts w:hint="eastAsia" w:ascii="仿宋" w:hAnsi="仿宋" w:eastAsia="仿宋" w:cs="仿宋"/>
                <w:color w:val="auto"/>
                <w:sz w:val="28"/>
                <w:szCs w:val="28"/>
                <w:shd w:val="clear" w:color="auto" w:fill="auto"/>
                <w:lang w:eastAsia="zh-CN"/>
              </w:rPr>
              <w:t>得</w:t>
            </w:r>
            <w:r>
              <w:rPr>
                <w:rFonts w:hint="eastAsia" w:ascii="仿宋" w:hAnsi="仿宋" w:eastAsia="仿宋" w:cs="仿宋"/>
                <w:color w:val="auto"/>
                <w:sz w:val="28"/>
                <w:szCs w:val="28"/>
                <w:shd w:val="clear" w:color="auto" w:fill="auto"/>
                <w:lang w:val="en-US" w:eastAsia="zh-CN"/>
              </w:rPr>
              <w:t>1.0分</w:t>
            </w:r>
            <w:r>
              <w:rPr>
                <w:rFonts w:hint="eastAsia" w:ascii="仿宋" w:hAnsi="仿宋" w:eastAsia="仿宋" w:cs="仿宋"/>
                <w:color w:val="auto"/>
                <w:sz w:val="28"/>
                <w:szCs w:val="28"/>
                <w:shd w:val="clear" w:color="auto" w:fill="auto"/>
              </w:rPr>
              <w:t>，不提供不得分。</w:t>
            </w:r>
          </w:p>
        </w:tc>
      </w:tr>
      <w:tr w14:paraId="5365B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4DE18ED6">
            <w:pPr>
              <w:rPr>
                <w:sz w:val="28"/>
                <w:szCs w:val="28"/>
              </w:rPr>
            </w:pPr>
          </w:p>
        </w:tc>
        <w:tc>
          <w:tcPr>
            <w:tcW w:w="2376" w:type="dxa"/>
            <w:noWrap w:val="0"/>
            <w:vAlign w:val="top"/>
          </w:tcPr>
          <w:p w14:paraId="3C38CEB2">
            <w:pPr>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同类项目</w:t>
            </w:r>
            <w:r>
              <w:rPr>
                <w:rFonts w:hint="eastAsia" w:ascii="仿宋" w:hAnsi="仿宋" w:eastAsia="仿宋" w:cs="仿宋"/>
                <w:sz w:val="28"/>
                <w:szCs w:val="28"/>
                <w:lang w:val="en-US" w:eastAsia="zh-CN"/>
              </w:rPr>
              <w:t>业绩</w:t>
            </w:r>
            <w:r>
              <w:rPr>
                <w:rFonts w:hint="eastAsia" w:ascii="仿宋" w:hAnsi="仿宋" w:eastAsia="仿宋" w:cs="仿宋"/>
                <w:sz w:val="28"/>
                <w:szCs w:val="28"/>
              </w:rPr>
              <w:t>情况 (</w:t>
            </w:r>
            <w:r>
              <w:rPr>
                <w:rFonts w:hint="eastAsia" w:ascii="仿宋" w:hAnsi="仿宋" w:eastAsia="仿宋" w:cs="仿宋"/>
                <w:sz w:val="28"/>
                <w:szCs w:val="28"/>
                <w:lang w:val="en-US" w:eastAsia="zh-CN"/>
              </w:rPr>
              <w:t>6</w:t>
            </w:r>
            <w:r>
              <w:rPr>
                <w:rFonts w:hint="eastAsia" w:ascii="仿宋" w:hAnsi="仿宋" w:eastAsia="仿宋" w:cs="仿宋"/>
                <w:color w:val="auto"/>
                <w:sz w:val="28"/>
                <w:szCs w:val="28"/>
                <w:shd w:val="clear" w:color="auto" w:fill="auto"/>
                <w:lang w:val="en-US" w:eastAsia="zh-CN"/>
              </w:rPr>
              <w:t>.0</w:t>
            </w:r>
            <w:r>
              <w:rPr>
                <w:rFonts w:hint="eastAsia" w:ascii="仿宋" w:hAnsi="仿宋" w:eastAsia="仿宋" w:cs="仿宋"/>
                <w:sz w:val="28"/>
                <w:szCs w:val="28"/>
              </w:rPr>
              <w:t>分)</w:t>
            </w:r>
          </w:p>
        </w:tc>
        <w:tc>
          <w:tcPr>
            <w:tcW w:w="6789" w:type="dxa"/>
            <w:noWrap w:val="0"/>
            <w:vAlign w:val="top"/>
          </w:tcPr>
          <w:p w14:paraId="2310C0AA">
            <w:pPr>
              <w:keepNext w:val="0"/>
              <w:keepLines w:val="0"/>
              <w:suppressLineNumbers w:val="0"/>
              <w:snapToGrid w:val="0"/>
              <w:spacing w:before="0" w:beforeAutospacing="0" w:after="0" w:afterAutospacing="0" w:line="276" w:lineRule="auto"/>
              <w:ind w:left="0" w:right="0"/>
              <w:rPr>
                <w:rFonts w:hint="eastAsia" w:ascii="仿宋" w:hAnsi="仿宋" w:eastAsia="仿宋" w:cs="仿宋"/>
                <w:sz w:val="28"/>
                <w:szCs w:val="28"/>
              </w:rPr>
            </w:pPr>
            <w:r>
              <w:rPr>
                <w:rFonts w:hint="eastAsia" w:ascii="仿宋" w:hAnsi="仿宋" w:eastAsia="仿宋" w:cs="仿宋"/>
                <w:color w:val="auto"/>
                <w:sz w:val="28"/>
                <w:szCs w:val="28"/>
                <w:shd w:val="clear" w:color="auto" w:fill="auto"/>
                <w:lang w:val="en-US" w:eastAsia="zh-CN"/>
              </w:rPr>
              <w:t>投标人</w:t>
            </w:r>
            <w:r>
              <w:rPr>
                <w:rFonts w:hint="eastAsia" w:ascii="仿宋" w:hAnsi="仿宋" w:eastAsia="仿宋" w:cs="仿宋"/>
                <w:b/>
                <w:bCs/>
                <w:color w:val="auto"/>
                <w:sz w:val="28"/>
                <w:szCs w:val="28"/>
                <w:shd w:val="clear" w:color="auto" w:fill="auto"/>
                <w:lang w:val="en-US" w:eastAsia="zh-CN"/>
              </w:rPr>
              <w:t>同类急救转运呼吸机</w:t>
            </w:r>
            <w:r>
              <w:rPr>
                <w:rFonts w:hint="eastAsia" w:ascii="仿宋" w:hAnsi="仿宋" w:eastAsia="仿宋" w:cs="仿宋"/>
                <w:color w:val="auto"/>
                <w:sz w:val="28"/>
                <w:szCs w:val="28"/>
                <w:shd w:val="clear" w:color="auto" w:fill="auto"/>
                <w:lang w:val="en-US" w:eastAsia="zh-CN"/>
              </w:rPr>
              <w:t>设备供货业绩的评审（3.0分）：2023年1月1日至今投标人具有同类设备供货项目业绩，每提供1个业绩，得2.0分，最高得</w:t>
            </w:r>
            <w:r>
              <w:rPr>
                <w:rFonts w:hint="eastAsia" w:ascii="仿宋" w:hAnsi="仿宋" w:eastAsia="仿宋" w:cs="仿宋"/>
                <w:sz w:val="28"/>
                <w:szCs w:val="28"/>
                <w:lang w:val="en-US" w:eastAsia="zh-CN"/>
              </w:rPr>
              <w:t>6</w:t>
            </w:r>
            <w:r>
              <w:rPr>
                <w:rFonts w:hint="eastAsia" w:ascii="仿宋" w:hAnsi="仿宋" w:eastAsia="仿宋" w:cs="仿宋"/>
                <w:color w:val="auto"/>
                <w:sz w:val="28"/>
                <w:szCs w:val="28"/>
                <w:shd w:val="clear" w:color="auto" w:fill="auto"/>
                <w:lang w:val="en-US" w:eastAsia="zh-CN"/>
              </w:rPr>
              <w:t>.0分 (提供合同复印件，以签订合同的时间为准，不提供不得分）</w:t>
            </w:r>
          </w:p>
        </w:tc>
      </w:tr>
      <w:tr w14:paraId="56F5D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64555FB8">
            <w:pPr>
              <w:rPr>
                <w:sz w:val="28"/>
                <w:szCs w:val="28"/>
              </w:rPr>
            </w:pPr>
          </w:p>
        </w:tc>
        <w:tc>
          <w:tcPr>
            <w:tcW w:w="2376" w:type="dxa"/>
            <w:noWrap w:val="0"/>
            <w:vAlign w:val="top"/>
          </w:tcPr>
          <w:p w14:paraId="6F8758FC">
            <w:pPr>
              <w:pStyle w:val="30"/>
              <w:jc w:val="left"/>
              <w:rPr>
                <w:rFonts w:hint="eastAsia" w:ascii="仿宋" w:hAnsi="仿宋" w:eastAsia="仿宋" w:cs="仿宋"/>
                <w:sz w:val="28"/>
                <w:szCs w:val="28"/>
              </w:rPr>
            </w:pPr>
            <w:r>
              <w:rPr>
                <w:rFonts w:hint="eastAsia" w:ascii="仿宋" w:hAnsi="仿宋" w:eastAsia="仿宋" w:cs="仿宋"/>
                <w:sz w:val="28"/>
                <w:szCs w:val="28"/>
              </w:rPr>
              <w:t>产品授权证明 (</w:t>
            </w:r>
            <w:r>
              <w:rPr>
                <w:rFonts w:hint="eastAsia" w:ascii="仿宋" w:hAnsi="仿宋" w:eastAsia="仿宋" w:cs="仿宋"/>
                <w:sz w:val="28"/>
                <w:szCs w:val="28"/>
                <w:lang w:val="en-US" w:eastAsia="zh-CN"/>
              </w:rPr>
              <w:t>2</w:t>
            </w:r>
            <w:r>
              <w:rPr>
                <w:rFonts w:hint="eastAsia" w:ascii="仿宋" w:hAnsi="仿宋" w:eastAsia="仿宋" w:cs="仿宋"/>
                <w:sz w:val="28"/>
                <w:szCs w:val="28"/>
              </w:rPr>
              <w:t>.0分)</w:t>
            </w:r>
          </w:p>
        </w:tc>
        <w:tc>
          <w:tcPr>
            <w:tcW w:w="6789" w:type="dxa"/>
            <w:noWrap w:val="0"/>
            <w:vAlign w:val="top"/>
          </w:tcPr>
          <w:p w14:paraId="09616938">
            <w:pPr>
              <w:pStyle w:val="30"/>
              <w:keepNext w:val="0"/>
              <w:keepLines w:val="0"/>
              <w:pageBreakBefore w:val="0"/>
              <w:widowControl/>
              <w:kinsoku/>
              <w:wordWrap/>
              <w:overflowPunct/>
              <w:topLinePunct w:val="0"/>
              <w:autoSpaceDE/>
              <w:autoSpaceDN/>
              <w:bidi w:val="0"/>
              <w:adjustRightInd/>
              <w:snapToGrid/>
              <w:spacing w:line="440" w:lineRule="exact"/>
              <w:ind w:firstLine="574"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color w:val="auto"/>
                <w:kern w:val="2"/>
                <w:sz w:val="28"/>
                <w:szCs w:val="28"/>
                <w:shd w:val="clear" w:color="auto" w:fill="auto"/>
                <w:lang w:val="en-US" w:eastAsia="zh-CN" w:bidi="ar-SA"/>
              </w:rPr>
              <w:t>为了保证核心产品具有追溯性且保证质量，投标人为代理商投标响应的，提供生产企业出具的有效授权证明，得</w:t>
            </w:r>
            <w:r>
              <w:rPr>
                <w:rFonts w:hint="eastAsia" w:ascii="仿宋" w:hAnsi="仿宋" w:eastAsia="仿宋" w:cs="仿宋"/>
                <w:sz w:val="28"/>
                <w:szCs w:val="28"/>
                <w:lang w:val="en-US" w:eastAsia="zh-CN"/>
              </w:rPr>
              <w:t>2</w:t>
            </w:r>
            <w:r>
              <w:rPr>
                <w:rFonts w:hint="eastAsia" w:ascii="仿宋" w:hAnsi="仿宋" w:eastAsia="仿宋" w:cs="仿宋"/>
                <w:sz w:val="28"/>
                <w:szCs w:val="28"/>
              </w:rPr>
              <w:t>.0</w:t>
            </w:r>
            <w:r>
              <w:rPr>
                <w:rFonts w:hint="eastAsia" w:ascii="仿宋" w:hAnsi="仿宋" w:eastAsia="仿宋" w:cs="仿宋"/>
                <w:color w:val="auto"/>
                <w:kern w:val="2"/>
                <w:sz w:val="28"/>
                <w:szCs w:val="28"/>
                <w:shd w:val="clear" w:color="auto" w:fill="auto"/>
                <w:lang w:val="en-US" w:eastAsia="zh-CN" w:bidi="ar-SA"/>
              </w:rPr>
              <w:t>分，若投标人为生产企业投标的（需提供相关证明文件）也得</w:t>
            </w:r>
            <w:r>
              <w:rPr>
                <w:rFonts w:hint="eastAsia" w:ascii="仿宋" w:hAnsi="仿宋" w:eastAsia="仿宋" w:cs="仿宋"/>
                <w:sz w:val="28"/>
                <w:szCs w:val="28"/>
                <w:lang w:val="en-US" w:eastAsia="zh-CN"/>
              </w:rPr>
              <w:t>2</w:t>
            </w:r>
            <w:r>
              <w:rPr>
                <w:rFonts w:hint="eastAsia" w:ascii="仿宋" w:hAnsi="仿宋" w:eastAsia="仿宋" w:cs="仿宋"/>
                <w:sz w:val="28"/>
                <w:szCs w:val="28"/>
              </w:rPr>
              <w:t>.0</w:t>
            </w:r>
            <w:r>
              <w:rPr>
                <w:rFonts w:hint="eastAsia" w:ascii="仿宋" w:hAnsi="仿宋" w:eastAsia="仿宋" w:cs="仿宋"/>
                <w:color w:val="auto"/>
                <w:kern w:val="2"/>
                <w:sz w:val="28"/>
                <w:szCs w:val="28"/>
                <w:shd w:val="clear" w:color="auto" w:fill="auto"/>
                <w:lang w:val="en-US" w:eastAsia="zh-CN" w:bidi="ar-SA"/>
              </w:rPr>
              <w:t>分，其他不得分。</w:t>
            </w:r>
          </w:p>
        </w:tc>
      </w:tr>
      <w:tr w14:paraId="2B891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0E646FA4">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47CE5322">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0.0分)</w:t>
            </w:r>
          </w:p>
        </w:tc>
        <w:tc>
          <w:tcPr>
            <w:tcW w:w="6789" w:type="dxa"/>
            <w:noWrap w:val="0"/>
            <w:vAlign w:val="top"/>
          </w:tcPr>
          <w:p w14:paraId="091FAEE1">
            <w:pPr>
              <w:keepNext w:val="0"/>
              <w:keepLines w:val="0"/>
              <w:pageBreakBefore w:val="0"/>
              <w:widowControl w:val="0"/>
              <w:kinsoku/>
              <w:wordWrap/>
              <w:overflowPunct/>
              <w:topLinePunct w:val="0"/>
              <w:autoSpaceDE/>
              <w:autoSpaceDN/>
              <w:bidi w:val="0"/>
              <w:adjustRightInd/>
              <w:snapToGrid/>
              <w:jc w:val="both"/>
              <w:textAlignment w:val="auto"/>
              <w:rPr>
                <w:rFonts w:hint="eastAsia" w:eastAsia="仿宋"/>
                <w:lang w:eastAsia="zh-CN"/>
              </w:rPr>
            </w:pPr>
            <w:r>
              <w:rPr>
                <w:rFonts w:hint="eastAsia" w:ascii="仿宋" w:hAnsi="仿宋" w:eastAsia="仿宋" w:cstheme="minorBidi"/>
                <w:b w:val="0"/>
                <w:bCs w:val="0"/>
                <w:color w:val="auto"/>
                <w:sz w:val="28"/>
                <w:szCs w:val="28"/>
              </w:rPr>
              <w:t>投标报价得分(30.0分)：投标报价得分＝（基准价/报价）×价格分值【注：（1）满足采购文件要求且投标价格最低的投标报价为评标基准价，最低报价不是中标的唯一依据。（2）投标报价=供应商的设备金额+两年内的专机专用耗材金额(有多个产品的需分别列明，如同一类耗材有多个报价时取最高报价计算得分），两年内的专机专用耗材预估使用量</w:t>
            </w:r>
            <w:r>
              <w:rPr>
                <w:rFonts w:hint="eastAsia" w:ascii="仿宋" w:hAnsi="仿宋" w:eastAsia="仿宋" w:cstheme="minorBidi"/>
                <w:b w:val="0"/>
                <w:bCs w:val="0"/>
                <w:color w:val="auto"/>
                <w:sz w:val="28"/>
                <w:szCs w:val="28"/>
                <w:lang w:eastAsia="zh-CN"/>
              </w:rPr>
              <w:t>约</w:t>
            </w:r>
            <w:r>
              <w:rPr>
                <w:rFonts w:hint="eastAsia" w:ascii="仿宋" w:hAnsi="仿宋" w:eastAsia="仿宋" w:cstheme="minorBidi"/>
                <w:b w:val="0"/>
                <w:bCs w:val="0"/>
                <w:color w:val="auto"/>
                <w:sz w:val="28"/>
                <w:szCs w:val="28"/>
              </w:rPr>
              <w:t>为</w:t>
            </w:r>
            <w:r>
              <w:rPr>
                <w:rFonts w:hint="eastAsia" w:ascii="仿宋" w:hAnsi="仿宋" w:eastAsia="仿宋" w:cstheme="minorBidi"/>
                <w:b w:val="0"/>
                <w:bCs w:val="0"/>
                <w:color w:val="auto"/>
                <w:sz w:val="28"/>
                <w:szCs w:val="28"/>
                <w:lang w:val="en-US" w:eastAsia="zh-CN"/>
              </w:rPr>
              <w:t>260</w:t>
            </w:r>
            <w:r>
              <w:rPr>
                <w:rFonts w:hint="eastAsia" w:ascii="仿宋" w:hAnsi="仿宋" w:eastAsia="仿宋" w:cstheme="minorBidi"/>
                <w:b w:val="0"/>
                <w:bCs w:val="0"/>
                <w:color w:val="auto"/>
                <w:sz w:val="28"/>
                <w:szCs w:val="28"/>
              </w:rPr>
              <w:t>例。（3）上述耗材预估使用量仅为本项目评审价格计算用，并非采购人耗材使用量的承诺。若投标人不对耗材进行报价，采购人有权视为投标人对本项目报价响应缺漏，将导致投标无效。】</w:t>
            </w:r>
          </w:p>
        </w:tc>
      </w:tr>
      <w:tr w14:paraId="33275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3" w:hRule="atLeast"/>
        </w:trPr>
        <w:tc>
          <w:tcPr>
            <w:tcW w:w="10018" w:type="dxa"/>
            <w:gridSpan w:val="3"/>
            <w:noWrap w:val="0"/>
            <w:vAlign w:val="top"/>
          </w:tcPr>
          <w:p w14:paraId="5C189B82">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theme="minorBidi"/>
                <w:b w:val="0"/>
                <w:bCs w:val="0"/>
                <w:color w:val="auto"/>
                <w:sz w:val="28"/>
                <w:szCs w:val="28"/>
              </w:rPr>
            </w:pPr>
            <w:r>
              <w:rPr>
                <w:rFonts w:hint="eastAsia" w:ascii="仿宋" w:hAnsi="仿宋" w:eastAsia="仿宋" w:cs="仿宋"/>
                <w:bCs w:val="0"/>
                <w:color w:val="auto"/>
                <w:spacing w:val="0"/>
                <w:kern w:val="2"/>
                <w:sz w:val="28"/>
                <w:szCs w:val="28"/>
                <w:shd w:val="clear" w:color="auto" w:fill="auto"/>
                <w:lang w:val="en-US" w:eastAsia="zh-CN" w:bidi="ar-SA"/>
              </w:rPr>
              <w:t>说明：打“★”号条款为实质性条款，若有任何一条负偏离或不满足则导致投标无效。</w:t>
            </w:r>
            <w:r>
              <w:rPr>
                <w:rFonts w:hint="eastAsia" w:ascii="仿宋" w:hAnsi="仿宋" w:eastAsia="仿宋" w:cs="仿宋"/>
                <w:bCs w:val="0"/>
                <w:color w:val="auto"/>
                <w:spacing w:val="0"/>
                <w:kern w:val="2"/>
                <w:sz w:val="28"/>
                <w:szCs w:val="28"/>
                <w:shd w:val="clear" w:color="auto" w:fill="auto"/>
                <w:lang w:val="en-US" w:eastAsia="zh-CN" w:bidi="ar-SA"/>
              </w:rPr>
              <w:br w:type="textWrapping"/>
            </w:r>
            <w:r>
              <w:rPr>
                <w:rFonts w:hint="eastAsia" w:ascii="仿宋" w:hAnsi="仿宋" w:eastAsia="仿宋" w:cs="仿宋"/>
                <w:bCs w:val="0"/>
                <w:color w:val="auto"/>
                <w:spacing w:val="0"/>
                <w:kern w:val="2"/>
                <w:sz w:val="28"/>
                <w:szCs w:val="28"/>
                <w:shd w:val="clear" w:color="auto" w:fill="auto"/>
                <w:lang w:val="en-US" w:eastAsia="zh-CN" w:bidi="ar-SA"/>
              </w:rPr>
              <w:t xml:space="preserve">     打“▲”号条款为重要技术参数，若有部分“▲”条款未响应或不满足，将导致其响应性评审加重扣分，但不作为无效投标条款。</w:t>
            </w:r>
          </w:p>
        </w:tc>
      </w:tr>
    </w:tbl>
    <w:p w14:paraId="20ED701E">
      <w:pPr>
        <w:pStyle w:val="15"/>
        <w:spacing w:before="0" w:after="0" w:line="240" w:lineRule="auto"/>
        <w:ind w:left="0" w:leftChars="0" w:firstLine="0" w:firstLineChars="0"/>
        <w:rPr>
          <w:rFonts w:hint="eastAsia" w:ascii="仿宋" w:hAnsi="仿宋" w:eastAsia="仿宋" w:cs="Helvetica Neue"/>
          <w:i/>
          <w:iCs/>
          <w:kern w:val="0"/>
          <w:sz w:val="28"/>
          <w:szCs w:val="28"/>
          <w:lang w:eastAsia="zh-CN"/>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7"/>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7"/>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1F4CEC"/>
    <w:multiLevelType w:val="singleLevel"/>
    <w:tmpl w:val="E11F4CE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D567D9"/>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042ADE"/>
    <w:rsid w:val="087F780C"/>
    <w:rsid w:val="088D64EC"/>
    <w:rsid w:val="08BA4CE8"/>
    <w:rsid w:val="090430D9"/>
    <w:rsid w:val="095344A8"/>
    <w:rsid w:val="095B73E3"/>
    <w:rsid w:val="09721F8E"/>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1B53C5"/>
    <w:rsid w:val="122F3B48"/>
    <w:rsid w:val="12473DB3"/>
    <w:rsid w:val="125D1EF2"/>
    <w:rsid w:val="12722EA2"/>
    <w:rsid w:val="12BF30B1"/>
    <w:rsid w:val="12CE5D17"/>
    <w:rsid w:val="12D4449D"/>
    <w:rsid w:val="13147980"/>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42BF6"/>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5B5210"/>
    <w:rsid w:val="1C940F54"/>
    <w:rsid w:val="1C996FE2"/>
    <w:rsid w:val="1D2D5615"/>
    <w:rsid w:val="1D7946FD"/>
    <w:rsid w:val="1DE74786"/>
    <w:rsid w:val="1DEA7E9E"/>
    <w:rsid w:val="1DEE4026"/>
    <w:rsid w:val="1E210611"/>
    <w:rsid w:val="1E361C38"/>
    <w:rsid w:val="1E7D63BB"/>
    <w:rsid w:val="1EA27958"/>
    <w:rsid w:val="1EAA2CB1"/>
    <w:rsid w:val="1ECF4EF5"/>
    <w:rsid w:val="1ED649B9"/>
    <w:rsid w:val="1F0C571A"/>
    <w:rsid w:val="1F1D16D5"/>
    <w:rsid w:val="1F2573EA"/>
    <w:rsid w:val="1F4D284C"/>
    <w:rsid w:val="1F501AAA"/>
    <w:rsid w:val="1FAE25F1"/>
    <w:rsid w:val="1FB060A0"/>
    <w:rsid w:val="1FE2463C"/>
    <w:rsid w:val="20324395"/>
    <w:rsid w:val="20FC6855"/>
    <w:rsid w:val="21380790"/>
    <w:rsid w:val="217113DA"/>
    <w:rsid w:val="21844BB5"/>
    <w:rsid w:val="21977500"/>
    <w:rsid w:val="21A67B84"/>
    <w:rsid w:val="21FA6DF4"/>
    <w:rsid w:val="21FC7871"/>
    <w:rsid w:val="2210130D"/>
    <w:rsid w:val="22950817"/>
    <w:rsid w:val="22B8599C"/>
    <w:rsid w:val="22BD491D"/>
    <w:rsid w:val="22C84412"/>
    <w:rsid w:val="233562BF"/>
    <w:rsid w:val="23384D2F"/>
    <w:rsid w:val="23464DE4"/>
    <w:rsid w:val="237E56C3"/>
    <w:rsid w:val="24030E16"/>
    <w:rsid w:val="244A678E"/>
    <w:rsid w:val="249825F1"/>
    <w:rsid w:val="24992D0D"/>
    <w:rsid w:val="24AC023E"/>
    <w:rsid w:val="24CF5954"/>
    <w:rsid w:val="24F64DA5"/>
    <w:rsid w:val="25C14F7B"/>
    <w:rsid w:val="26013B1B"/>
    <w:rsid w:val="261920E3"/>
    <w:rsid w:val="261E1534"/>
    <w:rsid w:val="26B17905"/>
    <w:rsid w:val="26B97F35"/>
    <w:rsid w:val="26D24169"/>
    <w:rsid w:val="27174C5C"/>
    <w:rsid w:val="273067C9"/>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47648F"/>
    <w:rsid w:val="2E565B2A"/>
    <w:rsid w:val="2E6812E3"/>
    <w:rsid w:val="2E7C4629"/>
    <w:rsid w:val="2EC64B5C"/>
    <w:rsid w:val="2ED400C3"/>
    <w:rsid w:val="2F9000D8"/>
    <w:rsid w:val="2FBB4D1E"/>
    <w:rsid w:val="303F591A"/>
    <w:rsid w:val="3047087F"/>
    <w:rsid w:val="30684342"/>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1225C8"/>
    <w:rsid w:val="35335A0B"/>
    <w:rsid w:val="356674DA"/>
    <w:rsid w:val="35DE09C9"/>
    <w:rsid w:val="36483084"/>
    <w:rsid w:val="366B04D8"/>
    <w:rsid w:val="36B10C29"/>
    <w:rsid w:val="37425D25"/>
    <w:rsid w:val="376408CA"/>
    <w:rsid w:val="37774228"/>
    <w:rsid w:val="37AE3A93"/>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30272B"/>
    <w:rsid w:val="3B5D3537"/>
    <w:rsid w:val="3B5E12EE"/>
    <w:rsid w:val="3B6A3D00"/>
    <w:rsid w:val="3B6B0611"/>
    <w:rsid w:val="3B8C5F20"/>
    <w:rsid w:val="3B94244F"/>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3A7B79"/>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23E2F"/>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BD70AF"/>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E636B9"/>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2">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3">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4">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7"/>
    <w:semiHidden/>
    <w:unhideWhenUsed/>
    <w:qFormat/>
    <w:uiPriority w:val="99"/>
    <w:pPr>
      <w:spacing w:line="240" w:lineRule="auto"/>
    </w:pPr>
    <w:rPr>
      <w:sz w:val="18"/>
      <w:szCs w:val="18"/>
    </w:rPr>
  </w:style>
  <w:style w:type="paragraph" w:styleId="7">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0">
    <w:name w:val="Normal (Web)"/>
    <w:basedOn w:val="1"/>
    <w:semiHidden/>
    <w:unhideWhenUsed/>
    <w:qFormat/>
    <w:uiPriority w:val="99"/>
    <w:pPr>
      <w:spacing w:line="240" w:lineRule="auto"/>
      <w:ind w:firstLine="0"/>
    </w:pPr>
    <w:rPr>
      <w:sz w:val="24"/>
      <w:szCs w:val="24"/>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Strong"/>
    <w:basedOn w:val="13"/>
    <w:qFormat/>
    <w:locked/>
    <w:uiPriority w:val="0"/>
    <w:rPr>
      <w:b/>
    </w:rPr>
  </w:style>
  <w:style w:type="paragraph" w:customStyle="1" w:styleId="15">
    <w:name w:val="表格文字"/>
    <w:basedOn w:val="1"/>
    <w:qFormat/>
    <w:uiPriority w:val="0"/>
    <w:pPr>
      <w:snapToGrid w:val="0"/>
      <w:spacing w:before="25" w:after="25"/>
    </w:pPr>
    <w:rPr>
      <w:rFonts w:ascii="Calibri" w:hAnsi="Calibri" w:eastAsia="Calibri"/>
      <w:bCs/>
      <w:spacing w:val="10"/>
      <w:sz w:val="24"/>
      <w:szCs w:val="20"/>
      <w:lang w:eastAsia="en-US"/>
    </w:rPr>
  </w:style>
  <w:style w:type="character" w:customStyle="1" w:styleId="16">
    <w:name w:val="标题 2 Char"/>
    <w:basedOn w:val="13"/>
    <w:link w:val="2"/>
    <w:qFormat/>
    <w:uiPriority w:val="99"/>
    <w:rPr>
      <w:rFonts w:ascii="Cambria" w:hAnsi="Cambria" w:eastAsia="宋体" w:cs="Times New Roman"/>
      <w:smallCaps/>
      <w:kern w:val="0"/>
      <w:sz w:val="28"/>
      <w:szCs w:val="28"/>
      <w:lang w:eastAsia="en-US"/>
    </w:rPr>
  </w:style>
  <w:style w:type="character" w:customStyle="1" w:styleId="17">
    <w:name w:val="标题 6 Char"/>
    <w:basedOn w:val="13"/>
    <w:link w:val="4"/>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3"/>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3"/>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3"/>
    <w:link w:val="8"/>
    <w:qFormat/>
    <w:uiPriority w:val="99"/>
    <w:rPr>
      <w:sz w:val="18"/>
      <w:szCs w:val="18"/>
    </w:rPr>
  </w:style>
  <w:style w:type="character" w:customStyle="1" w:styleId="26">
    <w:name w:val="页脚 Char"/>
    <w:basedOn w:val="13"/>
    <w:link w:val="7"/>
    <w:qFormat/>
    <w:uiPriority w:val="99"/>
    <w:rPr>
      <w:sz w:val="18"/>
      <w:szCs w:val="18"/>
    </w:rPr>
  </w:style>
  <w:style w:type="character" w:customStyle="1" w:styleId="27">
    <w:name w:val="批注框文本 Char"/>
    <w:basedOn w:val="13"/>
    <w:link w:val="6"/>
    <w:semiHidden/>
    <w:qFormat/>
    <w:uiPriority w:val="99"/>
    <w:rPr>
      <w:rFonts w:ascii="Times New Roman" w:hAnsi="Times New Roman" w:eastAsia="仿宋_GB2312"/>
      <w:sz w:val="18"/>
      <w:szCs w:val="18"/>
    </w:rPr>
  </w:style>
  <w:style w:type="character" w:customStyle="1" w:styleId="28">
    <w:name w:val="标题 3 Char"/>
    <w:basedOn w:val="13"/>
    <w:link w:val="3"/>
    <w:qFormat/>
    <w:uiPriority w:val="0"/>
    <w:rPr>
      <w:rFonts w:ascii="Times New Roman" w:hAnsi="Times New Roman" w:eastAsia="仿宋_GB2312" w:cs="Times New Roman"/>
      <w:b/>
      <w:bCs/>
      <w:kern w:val="2"/>
      <w:sz w:val="32"/>
      <w:szCs w:val="32"/>
    </w:rPr>
  </w:style>
  <w:style w:type="character" w:customStyle="1" w:styleId="29">
    <w:name w:val="副标题 Char"/>
    <w:basedOn w:val="13"/>
    <w:link w:val="9"/>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5441</Words>
  <Characters>5579</Characters>
  <Lines>40</Lines>
  <Paragraphs>11</Paragraphs>
  <TotalTime>0</TotalTime>
  <ScaleCrop>false</ScaleCrop>
  <LinksUpToDate>false</LinksUpToDate>
  <CharactersWithSpaces>5606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Administrator</cp:lastModifiedBy>
  <cp:lastPrinted>2025-10-27T10:12:00Z</cp:lastPrinted>
  <dcterms:modified xsi:type="dcterms:W3CDTF">2026-08-18T06:43:09Z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