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hint="eastAsia" w:ascii="仿宋_GB2312" w:hAnsi="仿宋_GB2312" w:cs="仿宋_GB2312"/>
          <w:b/>
          <w:bCs/>
        </w:rPr>
      </w:pPr>
      <w:r>
        <w:rPr>
          <w:rFonts w:hint="eastAsia"/>
          <w:b/>
          <w:bCs/>
        </w:rPr>
        <w:t>附件</w:t>
      </w:r>
      <w:r>
        <w:rPr>
          <w:rFonts w:hint="eastAsia"/>
          <w:b/>
          <w:bCs/>
          <w:lang w:val="en-US" w:eastAsia="zh-CN"/>
        </w:rPr>
        <w:t>6</w:t>
      </w:r>
      <w:r>
        <w:rPr>
          <w:rFonts w:hint="eastAsia" w:ascii="仿宋_GB2312" w:hAnsi="仿宋_GB2312" w:cs="仿宋_GB2312"/>
          <w:b/>
          <w:bCs/>
        </w:rPr>
        <w:t>：</w:t>
      </w:r>
      <w:bookmarkStart w:id="0" w:name="_GoBack"/>
      <w:bookmarkEnd w:id="0"/>
    </w:p>
    <w:p w14:paraId="3A3B0F4E">
      <w:pPr>
        <w:pStyle w:val="3"/>
        <w:jc w:val="center"/>
        <w:rPr>
          <w:rFonts w:hint="eastAsia" w:ascii="方正小标宋简体" w:eastAsia="方正小标宋简体"/>
          <w:sz w:val="44"/>
          <w:szCs w:val="44"/>
        </w:rPr>
      </w:pPr>
      <w:r>
        <w:rPr>
          <w:rFonts w:hint="eastAsia" w:ascii="方正小标宋简体" w:eastAsia="方正小标宋简体"/>
          <w:sz w:val="44"/>
          <w:szCs w:val="44"/>
        </w:rPr>
        <w:t>胸腹腔内窥镜技术要求及</w:t>
      </w:r>
      <w:r>
        <w:rPr>
          <w:rFonts w:hint="eastAsia" w:ascii="方正小标宋简体" w:eastAsia="方正小标宋简体"/>
          <w:sz w:val="44"/>
          <w:szCs w:val="44"/>
          <w:lang w:eastAsia="zh-CN"/>
        </w:rPr>
        <w:t>具</w:t>
      </w:r>
      <w:r>
        <w:rPr>
          <w:rFonts w:hint="eastAsia" w:ascii="方正小标宋简体" w:eastAsia="方正小标宋简体"/>
          <w:sz w:val="44"/>
          <w:szCs w:val="44"/>
        </w:rPr>
        <w:t>体评审标准</w:t>
      </w:r>
    </w:p>
    <w:p w14:paraId="3A2C0485">
      <w:pPr>
        <w:rPr>
          <w:rFonts w:hint="eastAsia" w:eastAsia="方正小标宋简体"/>
          <w:lang w:eastAsia="zh-CN"/>
        </w:rPr>
      </w:pPr>
      <w:r>
        <w:rPr>
          <w:rFonts w:hint="eastAsia" w:ascii="宋体" w:hAnsi="宋体" w:eastAsia="宋体" w:cs="宋体"/>
          <w:b/>
          <w:bCs/>
          <w:sz w:val="32"/>
          <w:szCs w:val="32"/>
          <w:lang w:eastAsia="zh-CN"/>
        </w:rPr>
        <w:t>一、胸腹腔内窥镜技术要求</w:t>
      </w:r>
    </w:p>
    <w:tbl>
      <w:tblPr>
        <w:tblStyle w:val="11"/>
        <w:tblpPr w:leftFromText="180" w:rightFromText="180" w:vertAnchor="text" w:horzAnchor="page" w:tblpX="1409" w:tblpY="135"/>
        <w:tblOverlap w:val="never"/>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3"/>
        <w:gridCol w:w="889"/>
        <w:gridCol w:w="7119"/>
      </w:tblGrid>
      <w:tr w14:paraId="14B7E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3" w:type="dxa"/>
            <w:vAlign w:val="center"/>
          </w:tcPr>
          <w:p w14:paraId="3641EF26">
            <w:pPr>
              <w:ind w:firstLine="0"/>
              <w:jc w:val="center"/>
              <w:rPr>
                <w:rFonts w:ascii="仿宋" w:hAnsi="仿宋" w:eastAsia="仿宋" w:cs="仿宋"/>
                <w:b/>
                <w:bCs/>
                <w:sz w:val="24"/>
                <w:szCs w:val="24"/>
              </w:rPr>
            </w:pPr>
            <w:r>
              <w:rPr>
                <w:rFonts w:hint="eastAsia" w:ascii="仿宋" w:hAnsi="仿宋" w:eastAsia="仿宋" w:cs="仿宋"/>
                <w:b/>
                <w:bCs/>
                <w:sz w:val="24"/>
                <w:szCs w:val="24"/>
              </w:rPr>
              <w:t>参数</w:t>
            </w:r>
          </w:p>
          <w:p w14:paraId="1A8062B1">
            <w:pPr>
              <w:ind w:firstLine="0"/>
              <w:jc w:val="center"/>
              <w:rPr>
                <w:rFonts w:ascii="仿宋" w:hAnsi="仿宋" w:eastAsia="仿宋" w:cs="仿宋"/>
                <w:b/>
                <w:bCs/>
                <w:sz w:val="24"/>
                <w:szCs w:val="24"/>
              </w:rPr>
            </w:pPr>
            <w:r>
              <w:rPr>
                <w:rFonts w:hint="eastAsia" w:ascii="仿宋" w:hAnsi="仿宋" w:eastAsia="仿宋" w:cs="仿宋"/>
                <w:b/>
                <w:bCs/>
                <w:sz w:val="24"/>
                <w:szCs w:val="24"/>
              </w:rPr>
              <w:t>性质</w:t>
            </w:r>
          </w:p>
        </w:tc>
        <w:tc>
          <w:tcPr>
            <w:tcW w:w="889" w:type="dxa"/>
            <w:vAlign w:val="center"/>
          </w:tcPr>
          <w:p w14:paraId="4A56EAA1">
            <w:pPr>
              <w:ind w:firstLine="0"/>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7119" w:type="dxa"/>
            <w:vAlign w:val="center"/>
          </w:tcPr>
          <w:p w14:paraId="03740386">
            <w:pPr>
              <w:jc w:val="center"/>
              <w:rPr>
                <w:rFonts w:ascii="仿宋" w:hAnsi="仿宋" w:eastAsia="仿宋" w:cs="仿宋"/>
                <w:sz w:val="24"/>
                <w:szCs w:val="24"/>
              </w:rPr>
            </w:pPr>
            <w:r>
              <w:rPr>
                <w:rFonts w:hint="eastAsia" w:ascii="仿宋" w:hAnsi="仿宋" w:eastAsia="仿宋" w:cs="仿宋"/>
                <w:b/>
                <w:bCs/>
                <w:sz w:val="24"/>
                <w:szCs w:val="24"/>
              </w:rPr>
              <w:t>具体技术(参数)要求</w:t>
            </w:r>
          </w:p>
        </w:tc>
      </w:tr>
      <w:tr w14:paraId="387B5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6" w:hRule="atLeast"/>
        </w:trPr>
        <w:tc>
          <w:tcPr>
            <w:tcW w:w="1053" w:type="dxa"/>
            <w:vAlign w:val="center"/>
          </w:tcPr>
          <w:p w14:paraId="6E436454">
            <w:pPr>
              <w:ind w:firstLine="0"/>
              <w:jc w:val="center"/>
              <w:rPr>
                <w:rFonts w:ascii="宋体" w:hAnsi="宋体" w:eastAsia="宋体" w:cs="宋体"/>
                <w:b/>
                <w:bCs/>
                <w:sz w:val="18"/>
                <w:szCs w:val="18"/>
              </w:rPr>
            </w:pPr>
            <w:r>
              <w:rPr>
                <w:rFonts w:hint="eastAsia" w:ascii="宋体" w:hAnsi="宋体" w:eastAsia="宋体" w:cs="宋体"/>
                <w:b/>
                <w:bCs/>
                <w:sz w:val="18"/>
                <w:szCs w:val="18"/>
              </w:rPr>
              <w:t>★</w:t>
            </w:r>
          </w:p>
        </w:tc>
        <w:tc>
          <w:tcPr>
            <w:tcW w:w="889" w:type="dxa"/>
            <w:vAlign w:val="center"/>
          </w:tcPr>
          <w:p w14:paraId="2A6CDCB5">
            <w:pPr>
              <w:ind w:firstLine="0"/>
              <w:jc w:val="center"/>
              <w:rPr>
                <w:rFonts w:ascii="宋体" w:hAnsi="宋体" w:eastAsia="宋体" w:cs="宋体"/>
                <w:b/>
                <w:bCs/>
                <w:sz w:val="18"/>
                <w:szCs w:val="18"/>
              </w:rPr>
            </w:pPr>
            <w:r>
              <w:rPr>
                <w:rFonts w:hint="eastAsia" w:ascii="宋体" w:hAnsi="宋体" w:eastAsia="宋体" w:cs="宋体"/>
                <w:b/>
                <w:bCs/>
                <w:sz w:val="18"/>
                <w:szCs w:val="18"/>
              </w:rPr>
              <w:t>1</w:t>
            </w:r>
          </w:p>
        </w:tc>
        <w:tc>
          <w:tcPr>
            <w:tcW w:w="7119" w:type="dxa"/>
            <w:vAlign w:val="center"/>
          </w:tcPr>
          <w:p w14:paraId="2D5BDEB3">
            <w:pPr>
              <w:spacing w:line="360" w:lineRule="exact"/>
              <w:ind w:firstLine="0"/>
              <w:jc w:val="left"/>
              <w:rPr>
                <w:rFonts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
                <w:bCs/>
                <w:sz w:val="21"/>
                <w:szCs w:val="21"/>
              </w:rPr>
              <w:t>一、项目总体要求：1、</w:t>
            </w:r>
            <w:r>
              <w:rPr>
                <w:rFonts w:hint="eastAsia" w:ascii="宋体" w:hAnsi="宋体" w:eastAsia="宋体" w:cs="宋体"/>
                <w:bCs/>
                <w:color w:val="000000" w:themeColor="text1"/>
                <w:kern w:val="0"/>
                <w:sz w:val="21"/>
                <w:szCs w:val="21"/>
                <w14:textFill>
                  <w14:solidFill>
                    <w14:schemeClr w14:val="tx1"/>
                  </w14:solidFill>
                </w14:textFill>
              </w:rPr>
              <w:t>胸腔内窥镜具有有效的中华人民共和国医疗器械注册证（提供注册证明文件）。</w:t>
            </w:r>
          </w:p>
        </w:tc>
      </w:tr>
      <w:tr w14:paraId="789B1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6" w:hRule="atLeast"/>
        </w:trPr>
        <w:tc>
          <w:tcPr>
            <w:tcW w:w="1053" w:type="dxa"/>
            <w:vAlign w:val="center"/>
          </w:tcPr>
          <w:p w14:paraId="6E96FB46">
            <w:pPr>
              <w:ind w:firstLine="0"/>
              <w:jc w:val="center"/>
              <w:rPr>
                <w:rFonts w:ascii="宋体" w:hAnsi="宋体" w:eastAsia="宋体" w:cs="宋体"/>
                <w:b/>
                <w:bCs/>
                <w:sz w:val="18"/>
                <w:szCs w:val="18"/>
              </w:rPr>
            </w:pPr>
            <w:r>
              <w:rPr>
                <w:rFonts w:hint="eastAsia" w:ascii="宋体" w:hAnsi="宋体" w:eastAsia="宋体" w:cs="宋体"/>
                <w:b/>
                <w:bCs/>
                <w:sz w:val="18"/>
                <w:szCs w:val="18"/>
              </w:rPr>
              <w:t>★</w:t>
            </w:r>
          </w:p>
        </w:tc>
        <w:tc>
          <w:tcPr>
            <w:tcW w:w="889" w:type="dxa"/>
            <w:vAlign w:val="center"/>
          </w:tcPr>
          <w:p w14:paraId="3132A4EA">
            <w:pPr>
              <w:ind w:firstLine="0"/>
              <w:jc w:val="center"/>
              <w:rPr>
                <w:rFonts w:ascii="宋体" w:hAnsi="宋体" w:eastAsia="宋体" w:cs="宋体"/>
                <w:sz w:val="18"/>
                <w:szCs w:val="18"/>
              </w:rPr>
            </w:pPr>
            <w:r>
              <w:rPr>
                <w:rFonts w:hint="eastAsia" w:ascii="宋体" w:hAnsi="宋体" w:eastAsia="宋体" w:cs="宋体"/>
                <w:b/>
                <w:bCs/>
                <w:sz w:val="18"/>
                <w:szCs w:val="18"/>
              </w:rPr>
              <w:t>2</w:t>
            </w:r>
          </w:p>
        </w:tc>
        <w:tc>
          <w:tcPr>
            <w:tcW w:w="7119" w:type="dxa"/>
            <w:vAlign w:val="center"/>
          </w:tcPr>
          <w:p w14:paraId="7EED81D7">
            <w:pPr>
              <w:spacing w:line="360" w:lineRule="exact"/>
              <w:ind w:firstLine="0"/>
              <w:jc w:val="left"/>
              <w:rPr>
                <w:rFonts w:ascii="宋体" w:hAnsi="宋体" w:eastAsia="宋体" w:cs="宋体"/>
                <w:sz w:val="21"/>
                <w:szCs w:val="21"/>
              </w:rPr>
            </w:pPr>
            <w:r>
              <w:rPr>
                <w:rFonts w:hint="eastAsia" w:ascii="宋体" w:hAnsi="宋体" w:eastAsia="宋体" w:cs="宋体"/>
                <w:sz w:val="21"/>
                <w:szCs w:val="21"/>
              </w:rPr>
              <w:t>2、小儿胸腹腔镜数量：5条，成人胸腹腔镜数量：10条；需兼容现用史托斯</w:t>
            </w:r>
            <w:r>
              <w:rPr>
                <w:rFonts w:hint="eastAsia" w:ascii="宋体" w:hAnsi="宋体" w:eastAsia="宋体" w:cs="宋体"/>
                <w:sz w:val="21"/>
                <w:szCs w:val="21"/>
                <w:lang w:eastAsia="zh-CN"/>
              </w:rPr>
              <w:t>（型号：</w:t>
            </w:r>
            <w:r>
              <w:rPr>
                <w:rFonts w:hint="eastAsia" w:ascii="宋体" w:hAnsi="宋体" w:eastAsia="宋体" w:cs="宋体"/>
                <w:sz w:val="21"/>
                <w:szCs w:val="21"/>
              </w:rPr>
              <w:t>TC200EN</w:t>
            </w:r>
            <w:r>
              <w:rPr>
                <w:rFonts w:hint="eastAsia" w:ascii="宋体" w:hAnsi="宋体" w:eastAsia="宋体" w:cs="宋体"/>
                <w:sz w:val="21"/>
                <w:szCs w:val="21"/>
                <w:lang w:eastAsia="zh-CN"/>
              </w:rPr>
              <w:t>）</w:t>
            </w:r>
            <w:r>
              <w:rPr>
                <w:rFonts w:hint="eastAsia" w:ascii="宋体" w:hAnsi="宋体" w:eastAsia="宋体" w:cs="宋体"/>
                <w:sz w:val="21"/>
                <w:szCs w:val="21"/>
              </w:rPr>
              <w:t>、奥林巴斯腹腔镜</w:t>
            </w:r>
            <w:r>
              <w:rPr>
                <w:rFonts w:hint="eastAsia" w:ascii="宋体" w:hAnsi="宋体" w:eastAsia="宋体" w:cs="宋体"/>
                <w:sz w:val="21"/>
                <w:szCs w:val="21"/>
                <w:lang w:eastAsia="zh-CN"/>
              </w:rPr>
              <w:t>（</w:t>
            </w:r>
            <w:r>
              <w:rPr>
                <w:rFonts w:hint="eastAsia" w:ascii="宋体" w:hAnsi="宋体" w:eastAsia="宋体" w:cs="宋体"/>
                <w:sz w:val="21"/>
                <w:szCs w:val="21"/>
              </w:rPr>
              <w:t>型号：CV-190</w:t>
            </w:r>
            <w:r>
              <w:rPr>
                <w:rFonts w:hint="eastAsia" w:ascii="宋体" w:hAnsi="宋体" w:eastAsia="宋体" w:cs="宋体"/>
                <w:sz w:val="21"/>
                <w:szCs w:val="21"/>
                <w:lang w:eastAsia="zh-CN"/>
              </w:rPr>
              <w:t>）</w:t>
            </w:r>
            <w:r>
              <w:rPr>
                <w:rFonts w:hint="eastAsia" w:ascii="宋体" w:hAnsi="宋体" w:eastAsia="宋体" w:cs="宋体"/>
                <w:sz w:val="21"/>
                <w:szCs w:val="21"/>
              </w:rPr>
              <w:t>主机；需带转接口，转接口需匹配史托斯</w:t>
            </w:r>
            <w:r>
              <w:rPr>
                <w:rFonts w:hint="eastAsia" w:ascii="宋体" w:hAnsi="宋体" w:eastAsia="宋体" w:cs="宋体"/>
                <w:sz w:val="21"/>
                <w:szCs w:val="21"/>
                <w:lang w:eastAsia="zh-CN"/>
              </w:rPr>
              <w:t>（型号：</w:t>
            </w:r>
            <w:r>
              <w:rPr>
                <w:rFonts w:hint="eastAsia" w:ascii="宋体" w:hAnsi="宋体" w:eastAsia="宋体" w:cs="宋体"/>
                <w:sz w:val="21"/>
                <w:szCs w:val="21"/>
              </w:rPr>
              <w:t>TC200EN</w:t>
            </w:r>
            <w:r>
              <w:rPr>
                <w:rFonts w:hint="eastAsia" w:ascii="宋体" w:hAnsi="宋体" w:eastAsia="宋体" w:cs="宋体"/>
                <w:sz w:val="21"/>
                <w:szCs w:val="21"/>
                <w:lang w:eastAsia="zh-CN"/>
              </w:rPr>
              <w:t>）</w:t>
            </w:r>
            <w:r>
              <w:rPr>
                <w:rFonts w:hint="eastAsia" w:ascii="宋体" w:hAnsi="宋体" w:eastAsia="宋体" w:cs="宋体"/>
                <w:sz w:val="21"/>
                <w:szCs w:val="21"/>
              </w:rPr>
              <w:t>、奥林巴斯</w:t>
            </w:r>
            <w:r>
              <w:rPr>
                <w:rFonts w:hint="eastAsia" w:ascii="宋体" w:hAnsi="宋体" w:eastAsia="宋体" w:cs="宋体"/>
                <w:sz w:val="21"/>
                <w:szCs w:val="21"/>
                <w:lang w:eastAsia="zh-CN"/>
              </w:rPr>
              <w:t>（</w:t>
            </w:r>
            <w:r>
              <w:rPr>
                <w:rFonts w:hint="eastAsia" w:ascii="宋体" w:hAnsi="宋体" w:eastAsia="宋体" w:cs="宋体"/>
                <w:sz w:val="21"/>
                <w:szCs w:val="21"/>
              </w:rPr>
              <w:t>型号：CV-190</w:t>
            </w:r>
            <w:r>
              <w:rPr>
                <w:rFonts w:hint="eastAsia" w:ascii="宋体" w:hAnsi="宋体" w:eastAsia="宋体" w:cs="宋体"/>
                <w:sz w:val="21"/>
                <w:szCs w:val="21"/>
                <w:lang w:eastAsia="zh-CN"/>
              </w:rPr>
              <w:t>）</w:t>
            </w:r>
            <w:r>
              <w:rPr>
                <w:rFonts w:hint="eastAsia" w:ascii="宋体" w:hAnsi="宋体" w:eastAsia="宋体" w:cs="宋体"/>
                <w:sz w:val="21"/>
                <w:szCs w:val="21"/>
              </w:rPr>
              <w:t>导光束接口；</w:t>
            </w:r>
            <w:r>
              <w:rPr>
                <w:rFonts w:hint="eastAsia" w:ascii="仿宋" w:hAnsi="仿宋" w:eastAsia="仿宋" w:cs="仿宋"/>
                <w:color w:val="000000"/>
                <w:kern w:val="0"/>
                <w:sz w:val="24"/>
                <w:szCs w:val="24"/>
              </w:rPr>
              <w:t>（提供承诺书，格式自拟）。</w:t>
            </w:r>
          </w:p>
        </w:tc>
      </w:tr>
      <w:tr w14:paraId="5DBC1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6" w:hRule="atLeast"/>
        </w:trPr>
        <w:tc>
          <w:tcPr>
            <w:tcW w:w="1053" w:type="dxa"/>
            <w:vAlign w:val="center"/>
          </w:tcPr>
          <w:p w14:paraId="70DAE607">
            <w:pPr>
              <w:ind w:firstLine="0"/>
              <w:jc w:val="center"/>
              <w:rPr>
                <w:rFonts w:ascii="宋体" w:hAnsi="宋体" w:eastAsia="宋体" w:cs="宋体"/>
                <w:b/>
                <w:bCs/>
                <w:sz w:val="18"/>
                <w:szCs w:val="18"/>
              </w:rPr>
            </w:pPr>
            <w:r>
              <w:rPr>
                <w:rFonts w:hint="eastAsia" w:ascii="宋体" w:hAnsi="宋体" w:eastAsia="宋体" w:cs="宋体"/>
                <w:b/>
                <w:bCs/>
                <w:sz w:val="18"/>
                <w:szCs w:val="18"/>
              </w:rPr>
              <w:t>★</w:t>
            </w:r>
          </w:p>
        </w:tc>
        <w:tc>
          <w:tcPr>
            <w:tcW w:w="889" w:type="dxa"/>
            <w:shd w:val="clear" w:color="auto" w:fill="auto"/>
            <w:vAlign w:val="center"/>
          </w:tcPr>
          <w:p w14:paraId="18B785C5">
            <w:pPr>
              <w:ind w:firstLine="0"/>
              <w:jc w:val="center"/>
              <w:rPr>
                <w:rFonts w:ascii="宋体" w:hAnsi="宋体" w:eastAsia="宋体" w:cs="宋体"/>
                <w:b/>
                <w:bCs/>
                <w:sz w:val="18"/>
                <w:szCs w:val="18"/>
              </w:rPr>
            </w:pPr>
            <w:r>
              <w:rPr>
                <w:rFonts w:hint="eastAsia" w:ascii="宋体" w:hAnsi="宋体" w:eastAsia="宋体" w:cs="宋体"/>
                <w:b/>
                <w:bCs/>
                <w:sz w:val="18"/>
                <w:szCs w:val="18"/>
              </w:rPr>
              <w:t>3</w:t>
            </w:r>
          </w:p>
        </w:tc>
        <w:tc>
          <w:tcPr>
            <w:tcW w:w="7119" w:type="dxa"/>
            <w:vAlign w:val="center"/>
          </w:tcPr>
          <w:p w14:paraId="53938758">
            <w:pPr>
              <w:pStyle w:val="30"/>
              <w:spacing w:line="400" w:lineRule="exact"/>
              <w:rPr>
                <w:rFonts w:hint="default" w:ascii="宋体" w:hAnsi="宋体" w:cs="宋体"/>
                <w:sz w:val="21"/>
                <w:szCs w:val="21"/>
                <w:lang w:eastAsia="zh-CN"/>
              </w:rPr>
            </w:pPr>
            <w:r>
              <w:rPr>
                <w:rFonts w:ascii="宋体" w:hAnsi="宋体" w:cs="宋体"/>
                <w:sz w:val="21"/>
                <w:szCs w:val="21"/>
                <w:lang w:eastAsia="zh-CN"/>
              </w:rPr>
              <w:t>3.</w:t>
            </w:r>
            <w:r>
              <w:rPr>
                <w:rFonts w:hint="eastAsia" w:ascii="仿宋" w:hAnsi="仿宋" w:eastAsia="仿宋" w:cs="仿宋"/>
                <w:color w:val="000000"/>
                <w:kern w:val="0"/>
                <w:sz w:val="24"/>
                <w:szCs w:val="24"/>
              </w:rPr>
              <w:t>质保期</w:t>
            </w:r>
            <w:r>
              <w:rPr>
                <w:rFonts w:ascii="宋体" w:hAnsi="宋体" w:cs="宋体"/>
                <w:sz w:val="21"/>
                <w:szCs w:val="21"/>
                <w:lang w:eastAsia="zh-CN"/>
              </w:rPr>
              <w:t>≥3年，故障发生后2小时内响应，48小时内到达现场。</w:t>
            </w:r>
            <w:r>
              <w:rPr>
                <w:rFonts w:hint="eastAsia" w:ascii="仿宋" w:hAnsi="仿宋" w:eastAsia="仿宋" w:cs="仿宋"/>
                <w:color w:val="000000"/>
                <w:kern w:val="0"/>
                <w:sz w:val="24"/>
                <w:szCs w:val="24"/>
              </w:rPr>
              <w:t>质保期</w:t>
            </w:r>
            <w:r>
              <w:rPr>
                <w:rFonts w:ascii="宋体" w:hAnsi="宋体" w:cs="宋体"/>
                <w:sz w:val="21"/>
                <w:szCs w:val="21"/>
                <w:lang w:eastAsia="zh-CN"/>
              </w:rPr>
              <w:t>内提供每年至少一次的预防性维护，费用均包含在投标报价中；</w:t>
            </w:r>
          </w:p>
        </w:tc>
      </w:tr>
      <w:tr w14:paraId="066B6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6" w:hRule="atLeast"/>
        </w:trPr>
        <w:tc>
          <w:tcPr>
            <w:tcW w:w="1053" w:type="dxa"/>
            <w:vAlign w:val="center"/>
          </w:tcPr>
          <w:p w14:paraId="14E42A73">
            <w:pPr>
              <w:ind w:firstLine="0"/>
              <w:jc w:val="center"/>
              <w:rPr>
                <w:rFonts w:ascii="宋体" w:hAnsi="宋体" w:eastAsia="宋体" w:cs="宋体"/>
                <w:b/>
                <w:bCs/>
                <w:sz w:val="18"/>
                <w:szCs w:val="18"/>
              </w:rPr>
            </w:pPr>
          </w:p>
        </w:tc>
        <w:tc>
          <w:tcPr>
            <w:tcW w:w="889" w:type="dxa"/>
            <w:shd w:val="clear" w:color="auto" w:fill="auto"/>
            <w:vAlign w:val="center"/>
          </w:tcPr>
          <w:p w14:paraId="103D3E85">
            <w:pPr>
              <w:ind w:firstLine="0"/>
              <w:jc w:val="center"/>
              <w:rPr>
                <w:rFonts w:ascii="宋体" w:hAnsi="宋体" w:eastAsia="宋体" w:cs="宋体"/>
                <w:b/>
                <w:bCs/>
                <w:sz w:val="18"/>
                <w:szCs w:val="18"/>
              </w:rPr>
            </w:pPr>
            <w:r>
              <w:rPr>
                <w:rFonts w:hint="eastAsia" w:ascii="宋体" w:hAnsi="宋体" w:eastAsia="宋体" w:cs="宋体"/>
                <w:b/>
                <w:bCs/>
                <w:sz w:val="18"/>
                <w:szCs w:val="18"/>
              </w:rPr>
              <w:t>4</w:t>
            </w:r>
          </w:p>
        </w:tc>
        <w:tc>
          <w:tcPr>
            <w:tcW w:w="7119" w:type="dxa"/>
            <w:vAlign w:val="center"/>
          </w:tcPr>
          <w:p w14:paraId="18942566">
            <w:pPr>
              <w:pStyle w:val="30"/>
              <w:spacing w:line="400" w:lineRule="exact"/>
              <w:rPr>
                <w:rFonts w:hint="default" w:ascii="宋体" w:hAnsi="宋体" w:cs="宋体"/>
                <w:sz w:val="21"/>
                <w:szCs w:val="21"/>
                <w:lang w:eastAsia="zh-CN"/>
              </w:rPr>
            </w:pPr>
            <w:r>
              <w:rPr>
                <w:rFonts w:ascii="宋体" w:hAnsi="宋体" w:cs="宋体"/>
                <w:sz w:val="21"/>
                <w:szCs w:val="21"/>
                <w:lang w:eastAsia="zh-CN"/>
              </w:rPr>
              <w:t>4.设备使用年限≥5年，（提供同型号产品铭牌/标签或使用说明书等证明）；</w:t>
            </w:r>
          </w:p>
        </w:tc>
      </w:tr>
      <w:tr w14:paraId="75EF8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6" w:hRule="atLeast"/>
        </w:trPr>
        <w:tc>
          <w:tcPr>
            <w:tcW w:w="1053" w:type="dxa"/>
            <w:vAlign w:val="center"/>
          </w:tcPr>
          <w:p w14:paraId="62306DC2">
            <w:pPr>
              <w:ind w:firstLine="0"/>
              <w:jc w:val="center"/>
              <w:rPr>
                <w:rFonts w:ascii="宋体" w:hAnsi="宋体" w:eastAsia="宋体" w:cs="宋体"/>
                <w:b/>
                <w:bCs/>
                <w:sz w:val="18"/>
                <w:szCs w:val="18"/>
              </w:rPr>
            </w:pPr>
          </w:p>
        </w:tc>
        <w:tc>
          <w:tcPr>
            <w:tcW w:w="889" w:type="dxa"/>
            <w:shd w:val="clear" w:color="auto" w:fill="auto"/>
            <w:vAlign w:val="center"/>
          </w:tcPr>
          <w:p w14:paraId="76EF9413">
            <w:pPr>
              <w:ind w:firstLine="0"/>
              <w:jc w:val="center"/>
              <w:rPr>
                <w:rFonts w:ascii="宋体" w:hAnsi="宋体" w:eastAsia="宋体" w:cs="宋体"/>
                <w:b/>
                <w:bCs/>
                <w:sz w:val="18"/>
                <w:szCs w:val="18"/>
              </w:rPr>
            </w:pPr>
            <w:r>
              <w:rPr>
                <w:rFonts w:hint="eastAsia" w:ascii="宋体" w:hAnsi="宋体" w:eastAsia="宋体" w:cs="宋体"/>
                <w:b/>
                <w:bCs/>
                <w:sz w:val="18"/>
                <w:szCs w:val="18"/>
              </w:rPr>
              <w:t>5</w:t>
            </w:r>
          </w:p>
        </w:tc>
        <w:tc>
          <w:tcPr>
            <w:tcW w:w="7119" w:type="dxa"/>
            <w:vAlign w:val="center"/>
          </w:tcPr>
          <w:p w14:paraId="60108C9E">
            <w:pPr>
              <w:pStyle w:val="30"/>
              <w:spacing w:line="400" w:lineRule="exact"/>
              <w:rPr>
                <w:rFonts w:hint="default" w:ascii="宋体" w:hAnsi="宋体" w:cs="宋体"/>
                <w:sz w:val="21"/>
                <w:szCs w:val="21"/>
                <w:lang w:eastAsia="zh-CN"/>
              </w:rPr>
            </w:pPr>
            <w:r>
              <w:rPr>
                <w:rFonts w:ascii="宋体" w:hAnsi="宋体" w:cs="宋体"/>
                <w:sz w:val="21"/>
                <w:szCs w:val="21"/>
                <w:lang w:eastAsia="zh-CN"/>
              </w:rPr>
              <w:t>5.设备交货日期不得超过生产日期后6个月；</w:t>
            </w:r>
          </w:p>
        </w:tc>
      </w:tr>
      <w:tr w14:paraId="4EC37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0" w:hRule="atLeast"/>
        </w:trPr>
        <w:tc>
          <w:tcPr>
            <w:tcW w:w="1053" w:type="dxa"/>
            <w:vAlign w:val="center"/>
          </w:tcPr>
          <w:p w14:paraId="0081B601">
            <w:pPr>
              <w:ind w:firstLine="0"/>
              <w:jc w:val="center"/>
              <w:rPr>
                <w:rFonts w:ascii="宋体" w:hAnsi="宋体" w:eastAsia="宋体" w:cs="宋体"/>
                <w:b/>
                <w:bCs/>
                <w:sz w:val="18"/>
                <w:szCs w:val="18"/>
              </w:rPr>
            </w:pPr>
            <w:r>
              <w:rPr>
                <w:rFonts w:hint="eastAsia" w:ascii="宋体" w:hAnsi="宋体" w:eastAsia="宋体" w:cs="宋体"/>
                <w:b/>
                <w:bCs/>
                <w:sz w:val="18"/>
                <w:szCs w:val="18"/>
              </w:rPr>
              <w:t>★</w:t>
            </w:r>
          </w:p>
        </w:tc>
        <w:tc>
          <w:tcPr>
            <w:tcW w:w="889" w:type="dxa"/>
            <w:shd w:val="clear" w:color="auto" w:fill="auto"/>
            <w:vAlign w:val="center"/>
          </w:tcPr>
          <w:p w14:paraId="0B2FE290">
            <w:pPr>
              <w:ind w:firstLine="0"/>
              <w:jc w:val="center"/>
              <w:rPr>
                <w:rFonts w:ascii="宋体" w:hAnsi="宋体" w:eastAsia="宋体" w:cs="宋体"/>
                <w:b/>
                <w:bCs/>
                <w:sz w:val="18"/>
                <w:szCs w:val="18"/>
              </w:rPr>
            </w:pPr>
            <w:r>
              <w:rPr>
                <w:rFonts w:hint="eastAsia" w:ascii="宋体" w:hAnsi="宋体" w:eastAsia="宋体" w:cs="宋体"/>
                <w:b/>
                <w:bCs/>
                <w:sz w:val="18"/>
                <w:szCs w:val="18"/>
              </w:rPr>
              <w:t>6</w:t>
            </w:r>
          </w:p>
        </w:tc>
        <w:tc>
          <w:tcPr>
            <w:tcW w:w="7119" w:type="dxa"/>
            <w:vAlign w:val="center"/>
          </w:tcPr>
          <w:p w14:paraId="47136982">
            <w:pPr>
              <w:pStyle w:val="30"/>
              <w:spacing w:line="400" w:lineRule="exact"/>
              <w:rPr>
                <w:rFonts w:hint="default" w:ascii="宋体" w:hAnsi="宋体" w:cs="宋体"/>
                <w:sz w:val="21"/>
                <w:szCs w:val="21"/>
                <w:lang w:eastAsia="zh-CN"/>
              </w:rPr>
            </w:pPr>
            <w:r>
              <w:rPr>
                <w:rFonts w:ascii="宋体" w:hAnsi="宋体" w:cs="宋体"/>
                <w:sz w:val="21"/>
                <w:szCs w:val="21"/>
                <w:lang w:eastAsia="zh-CN"/>
              </w:rPr>
              <w:t>6.所投设备为非召回、非停产设备。</w:t>
            </w:r>
            <w:r>
              <w:rPr>
                <w:rFonts w:hint="eastAsia" w:ascii="仿宋" w:hAnsi="仿宋" w:eastAsia="仿宋" w:cs="仿宋"/>
                <w:color w:val="000000"/>
                <w:kern w:val="0"/>
                <w:sz w:val="24"/>
                <w:szCs w:val="24"/>
              </w:rPr>
              <w:t>（提供承诺书，格式自拟）</w:t>
            </w:r>
          </w:p>
        </w:tc>
      </w:tr>
      <w:tr w14:paraId="14188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6" w:hRule="atLeast"/>
        </w:trPr>
        <w:tc>
          <w:tcPr>
            <w:tcW w:w="1053" w:type="dxa"/>
            <w:vAlign w:val="center"/>
          </w:tcPr>
          <w:p w14:paraId="3B024D66">
            <w:pPr>
              <w:ind w:firstLine="0"/>
              <w:jc w:val="center"/>
              <w:rPr>
                <w:rFonts w:ascii="宋体" w:hAnsi="宋体" w:eastAsia="宋体" w:cs="宋体"/>
                <w:b/>
                <w:bCs/>
                <w:sz w:val="18"/>
                <w:szCs w:val="18"/>
              </w:rPr>
            </w:pPr>
            <w:r>
              <w:rPr>
                <w:rFonts w:hint="eastAsia" w:ascii="宋体" w:hAnsi="宋体" w:eastAsia="宋体" w:cs="宋体"/>
                <w:sz w:val="24"/>
                <w:szCs w:val="24"/>
              </w:rPr>
              <w:t>▲</w:t>
            </w:r>
          </w:p>
        </w:tc>
        <w:tc>
          <w:tcPr>
            <w:tcW w:w="889" w:type="dxa"/>
            <w:shd w:val="clear" w:color="auto" w:fill="auto"/>
            <w:vAlign w:val="center"/>
          </w:tcPr>
          <w:p w14:paraId="62602795">
            <w:pPr>
              <w:ind w:firstLine="0"/>
              <w:jc w:val="center"/>
              <w:rPr>
                <w:rFonts w:ascii="宋体" w:hAnsi="宋体" w:eastAsia="宋体" w:cs="宋体"/>
                <w:b/>
                <w:bCs/>
                <w:sz w:val="18"/>
                <w:szCs w:val="18"/>
              </w:rPr>
            </w:pPr>
            <w:r>
              <w:rPr>
                <w:rFonts w:hint="eastAsia" w:ascii="宋体" w:hAnsi="宋体" w:eastAsia="宋体" w:cs="宋体"/>
                <w:b/>
                <w:bCs/>
                <w:sz w:val="18"/>
                <w:szCs w:val="18"/>
              </w:rPr>
              <w:t>7</w:t>
            </w:r>
          </w:p>
        </w:tc>
        <w:tc>
          <w:tcPr>
            <w:tcW w:w="7119" w:type="dxa"/>
            <w:vAlign w:val="center"/>
          </w:tcPr>
          <w:p w14:paraId="1DDB5DB1">
            <w:pPr>
              <w:spacing w:line="360" w:lineRule="exact"/>
              <w:ind w:firstLine="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rPr>
              <w:t>二、主要技术要求</w:t>
            </w:r>
          </w:p>
          <w:p w14:paraId="03A60B9F">
            <w:pPr>
              <w:numPr>
                <w:ilvl w:val="255"/>
                <w:numId w:val="0"/>
              </w:numPr>
              <w:spacing w:line="360" w:lineRule="exact"/>
              <w:jc w:val="left"/>
              <w:rPr>
                <w:rFonts w:ascii="宋体" w:hAnsi="宋体" w:eastAsia="宋体" w:cs="宋体"/>
                <w:b/>
                <w:bCs/>
                <w:sz w:val="21"/>
                <w:szCs w:val="21"/>
              </w:rPr>
            </w:pPr>
            <w:r>
              <w:rPr>
                <w:rFonts w:hint="eastAsia" w:ascii="宋体" w:hAnsi="宋体" w:eastAsia="宋体" w:cs="宋体"/>
                <w:sz w:val="21"/>
                <w:szCs w:val="21"/>
              </w:rPr>
              <w:t>1、成人胸腹腔镜工作长度：310mm</w:t>
            </w:r>
            <w:r>
              <w:rPr>
                <w:rFonts w:hint="eastAsia" w:ascii="仿宋_GB2312" w:hAnsi="仿宋_GB2312" w:cs="仿宋_GB2312"/>
                <w:sz w:val="21"/>
                <w:szCs w:val="21"/>
              </w:rPr>
              <w:t>～</w:t>
            </w:r>
            <w:r>
              <w:rPr>
                <w:rFonts w:hint="eastAsia" w:ascii="宋体" w:hAnsi="宋体" w:eastAsia="宋体" w:cs="宋体"/>
                <w:sz w:val="21"/>
                <w:szCs w:val="21"/>
              </w:rPr>
              <w:t>32</w:t>
            </w:r>
            <w:r>
              <w:rPr>
                <w:rFonts w:hint="eastAsia" w:ascii="宋体" w:hAnsi="宋体" w:eastAsia="宋体" w:cs="宋体"/>
                <w:sz w:val="21"/>
                <w:szCs w:val="21"/>
                <w:lang w:val="en-US" w:eastAsia="zh-CN"/>
              </w:rPr>
              <w:t>0</w:t>
            </w:r>
            <w:r>
              <w:rPr>
                <w:rFonts w:hint="eastAsia" w:ascii="宋体" w:hAnsi="宋体" w:eastAsia="宋体" w:cs="宋体"/>
                <w:sz w:val="21"/>
                <w:szCs w:val="21"/>
              </w:rPr>
              <w:t>mm，允差±3%；小儿胸腹腔镜工作长度：290mm～31</w:t>
            </w:r>
            <w:r>
              <w:rPr>
                <w:rFonts w:hint="eastAsia" w:ascii="宋体" w:hAnsi="宋体" w:eastAsia="宋体" w:cs="宋体"/>
                <w:sz w:val="21"/>
                <w:szCs w:val="21"/>
                <w:lang w:val="en-US" w:eastAsia="zh-CN"/>
              </w:rPr>
              <w:t>5</w:t>
            </w:r>
            <w:r>
              <w:rPr>
                <w:rFonts w:hint="eastAsia" w:ascii="宋体" w:hAnsi="宋体" w:eastAsia="宋体" w:cs="宋体"/>
                <w:sz w:val="21"/>
                <w:szCs w:val="21"/>
              </w:rPr>
              <w:t>mm，允差±3%</w:t>
            </w:r>
          </w:p>
        </w:tc>
      </w:tr>
      <w:tr w14:paraId="717B8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4" w:hRule="exact"/>
        </w:trPr>
        <w:tc>
          <w:tcPr>
            <w:tcW w:w="1053" w:type="dxa"/>
            <w:vAlign w:val="center"/>
          </w:tcPr>
          <w:p w14:paraId="0D277539">
            <w:pPr>
              <w:ind w:firstLine="0"/>
              <w:jc w:val="center"/>
              <w:rPr>
                <w:rFonts w:ascii="宋体" w:hAnsi="宋体" w:eastAsia="宋体" w:cs="宋体"/>
                <w:b/>
                <w:bCs/>
                <w:sz w:val="18"/>
                <w:szCs w:val="18"/>
              </w:rPr>
            </w:pPr>
          </w:p>
        </w:tc>
        <w:tc>
          <w:tcPr>
            <w:tcW w:w="889" w:type="dxa"/>
            <w:shd w:val="clear" w:color="auto" w:fill="auto"/>
            <w:vAlign w:val="center"/>
          </w:tcPr>
          <w:p w14:paraId="3DC8B96A">
            <w:pPr>
              <w:ind w:firstLine="0"/>
              <w:jc w:val="center"/>
              <w:rPr>
                <w:rFonts w:ascii="宋体" w:hAnsi="宋体" w:eastAsia="宋体" w:cs="宋体"/>
                <w:b/>
                <w:bCs/>
                <w:sz w:val="18"/>
                <w:szCs w:val="18"/>
              </w:rPr>
            </w:pPr>
            <w:r>
              <w:rPr>
                <w:rFonts w:hint="eastAsia" w:ascii="宋体" w:hAnsi="宋体" w:eastAsia="宋体" w:cs="宋体"/>
                <w:b/>
                <w:bCs/>
                <w:sz w:val="18"/>
                <w:szCs w:val="18"/>
              </w:rPr>
              <w:t>8</w:t>
            </w:r>
          </w:p>
        </w:tc>
        <w:tc>
          <w:tcPr>
            <w:tcW w:w="7119" w:type="dxa"/>
            <w:vAlign w:val="center"/>
          </w:tcPr>
          <w:p w14:paraId="587DE9B4">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2、成人胸腹腔镜直径：10mm±0.5；小儿胸腹腔镜直径：5mm±0.5</w:t>
            </w:r>
          </w:p>
        </w:tc>
      </w:tr>
      <w:tr w14:paraId="00378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exact"/>
        </w:trPr>
        <w:tc>
          <w:tcPr>
            <w:tcW w:w="1053" w:type="dxa"/>
            <w:vAlign w:val="center"/>
          </w:tcPr>
          <w:p w14:paraId="2A3E8FE8">
            <w:pPr>
              <w:ind w:firstLine="0"/>
              <w:jc w:val="center"/>
              <w:rPr>
                <w:rFonts w:ascii="宋体" w:hAnsi="宋体" w:eastAsia="宋体" w:cs="宋体"/>
                <w:b/>
                <w:bCs/>
                <w:sz w:val="18"/>
                <w:szCs w:val="18"/>
              </w:rPr>
            </w:pPr>
          </w:p>
        </w:tc>
        <w:tc>
          <w:tcPr>
            <w:tcW w:w="889" w:type="dxa"/>
            <w:shd w:val="clear" w:color="auto" w:fill="auto"/>
            <w:vAlign w:val="center"/>
          </w:tcPr>
          <w:p w14:paraId="3D2385BB">
            <w:pPr>
              <w:ind w:firstLine="0"/>
              <w:jc w:val="center"/>
              <w:rPr>
                <w:rFonts w:ascii="宋体" w:hAnsi="宋体" w:eastAsia="宋体" w:cs="宋体"/>
                <w:b/>
                <w:bCs/>
                <w:sz w:val="18"/>
                <w:szCs w:val="18"/>
              </w:rPr>
            </w:pPr>
            <w:r>
              <w:rPr>
                <w:rFonts w:hint="eastAsia" w:ascii="宋体" w:hAnsi="宋体" w:eastAsia="宋体" w:cs="宋体"/>
                <w:b/>
                <w:bCs/>
                <w:sz w:val="18"/>
                <w:szCs w:val="18"/>
              </w:rPr>
              <w:t>9</w:t>
            </w:r>
          </w:p>
        </w:tc>
        <w:tc>
          <w:tcPr>
            <w:tcW w:w="7119" w:type="dxa"/>
            <w:vAlign w:val="center"/>
          </w:tcPr>
          <w:p w14:paraId="16CE3798">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3、有效</w:t>
            </w:r>
            <w:r>
              <w:rPr>
                <w:rFonts w:ascii="宋体" w:hAnsi="宋体" w:eastAsia="宋体" w:cs="宋体"/>
                <w:color w:val="333333"/>
                <w:sz w:val="21"/>
                <w:szCs w:val="21"/>
                <w:shd w:val="clear" w:color="auto" w:fill="FFFFFF"/>
              </w:rPr>
              <w:t>景深</w:t>
            </w:r>
            <w:r>
              <w:rPr>
                <w:rFonts w:hint="eastAsia" w:ascii="宋体" w:hAnsi="宋体" w:eastAsia="宋体" w:cs="宋体"/>
                <w:color w:val="333333"/>
                <w:sz w:val="21"/>
                <w:szCs w:val="21"/>
                <w:shd w:val="clear" w:color="auto" w:fill="FFFFFF"/>
              </w:rPr>
              <w:t>范围：</w:t>
            </w:r>
            <w:r>
              <w:rPr>
                <w:rFonts w:hint="eastAsia" w:ascii="仿宋" w:hAnsi="仿宋" w:eastAsia="仿宋" w:cs="仿宋"/>
                <w:color w:val="000000"/>
                <w:kern w:val="0"/>
                <w:sz w:val="24"/>
                <w:szCs w:val="24"/>
                <w:lang w:eastAsia="zh-CN"/>
              </w:rPr>
              <w:t>包含</w:t>
            </w:r>
            <w:r>
              <w:rPr>
                <w:rFonts w:ascii="宋体" w:hAnsi="宋体" w:eastAsia="宋体" w:cs="宋体"/>
                <w:color w:val="333333"/>
                <w:sz w:val="21"/>
                <w:szCs w:val="21"/>
                <w:shd w:val="clear" w:color="auto" w:fill="FFFFFF"/>
              </w:rPr>
              <w:t>3mm</w:t>
            </w:r>
            <w:r>
              <w:rPr>
                <w:rFonts w:hint="eastAsia" w:ascii="仿宋_GB2312" w:hAnsi="仿宋_GB2312" w:cs="仿宋_GB2312"/>
                <w:sz w:val="21"/>
                <w:szCs w:val="21"/>
              </w:rPr>
              <w:t>～</w:t>
            </w:r>
            <w:r>
              <w:rPr>
                <w:rFonts w:ascii="宋体" w:hAnsi="宋体" w:eastAsia="宋体" w:cs="宋体"/>
                <w:color w:val="333333"/>
                <w:sz w:val="21"/>
                <w:szCs w:val="21"/>
                <w:shd w:val="clear" w:color="auto" w:fill="FFFFFF"/>
              </w:rPr>
              <w:t>210mm</w:t>
            </w:r>
            <w:r>
              <w:rPr>
                <w:rFonts w:hint="eastAsia" w:ascii="宋体" w:hAnsi="宋体" w:eastAsia="宋体" w:cs="宋体"/>
                <w:color w:val="333333"/>
                <w:sz w:val="21"/>
                <w:szCs w:val="21"/>
                <w:shd w:val="clear" w:color="auto" w:fill="FFFFFF"/>
              </w:rPr>
              <w:t>；</w:t>
            </w:r>
          </w:p>
        </w:tc>
      </w:tr>
      <w:tr w14:paraId="11291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39" w:hRule="exact"/>
        </w:trPr>
        <w:tc>
          <w:tcPr>
            <w:tcW w:w="1053" w:type="dxa"/>
            <w:vAlign w:val="center"/>
          </w:tcPr>
          <w:p w14:paraId="6C7CAA62">
            <w:pPr>
              <w:ind w:firstLine="0"/>
              <w:jc w:val="center"/>
              <w:rPr>
                <w:rFonts w:ascii="宋体" w:hAnsi="宋体" w:eastAsia="宋体" w:cs="宋体"/>
                <w:b/>
                <w:bCs/>
                <w:sz w:val="18"/>
                <w:szCs w:val="18"/>
              </w:rPr>
            </w:pPr>
          </w:p>
        </w:tc>
        <w:tc>
          <w:tcPr>
            <w:tcW w:w="889" w:type="dxa"/>
            <w:shd w:val="clear" w:color="auto" w:fill="auto"/>
            <w:vAlign w:val="center"/>
          </w:tcPr>
          <w:p w14:paraId="05A161ED">
            <w:pPr>
              <w:ind w:firstLine="0"/>
              <w:jc w:val="center"/>
              <w:rPr>
                <w:rFonts w:ascii="宋体" w:hAnsi="宋体" w:eastAsia="宋体" w:cs="宋体"/>
                <w:b/>
                <w:bCs/>
                <w:sz w:val="18"/>
                <w:szCs w:val="18"/>
              </w:rPr>
            </w:pPr>
            <w:r>
              <w:rPr>
                <w:rFonts w:hint="eastAsia" w:ascii="宋体" w:hAnsi="宋体" w:eastAsia="宋体" w:cs="宋体"/>
                <w:b/>
                <w:bCs/>
                <w:sz w:val="18"/>
                <w:szCs w:val="18"/>
              </w:rPr>
              <w:t>10</w:t>
            </w:r>
          </w:p>
        </w:tc>
        <w:tc>
          <w:tcPr>
            <w:tcW w:w="7119" w:type="dxa"/>
            <w:vAlign w:val="center"/>
          </w:tcPr>
          <w:p w14:paraId="1B366763">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4、视向角：30°±10%；视场角：80°±15%；</w:t>
            </w:r>
          </w:p>
        </w:tc>
      </w:tr>
      <w:tr w14:paraId="11E32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50" w:hRule="exact"/>
        </w:trPr>
        <w:tc>
          <w:tcPr>
            <w:tcW w:w="1053" w:type="dxa"/>
            <w:vAlign w:val="center"/>
          </w:tcPr>
          <w:p w14:paraId="6FEACE88">
            <w:pPr>
              <w:ind w:firstLine="0"/>
              <w:jc w:val="center"/>
              <w:rPr>
                <w:rFonts w:ascii="宋体" w:hAnsi="宋体" w:eastAsia="宋体" w:cs="宋体"/>
                <w:b/>
                <w:bCs/>
                <w:sz w:val="18"/>
                <w:szCs w:val="18"/>
              </w:rPr>
            </w:pPr>
          </w:p>
        </w:tc>
        <w:tc>
          <w:tcPr>
            <w:tcW w:w="889" w:type="dxa"/>
            <w:shd w:val="clear" w:color="auto" w:fill="auto"/>
            <w:vAlign w:val="center"/>
          </w:tcPr>
          <w:p w14:paraId="1E0236C9">
            <w:pPr>
              <w:ind w:firstLine="0"/>
              <w:jc w:val="center"/>
              <w:rPr>
                <w:rFonts w:ascii="宋体" w:hAnsi="宋体" w:eastAsia="宋体" w:cs="宋体"/>
                <w:b/>
                <w:bCs/>
                <w:sz w:val="18"/>
                <w:szCs w:val="18"/>
              </w:rPr>
            </w:pPr>
            <w:r>
              <w:rPr>
                <w:rFonts w:hint="eastAsia" w:ascii="宋体" w:hAnsi="宋体" w:eastAsia="宋体" w:cs="宋体"/>
                <w:b/>
                <w:bCs/>
                <w:sz w:val="18"/>
                <w:szCs w:val="18"/>
              </w:rPr>
              <w:t>11</w:t>
            </w:r>
          </w:p>
        </w:tc>
        <w:tc>
          <w:tcPr>
            <w:tcW w:w="7119" w:type="dxa"/>
            <w:shd w:val="clear" w:color="auto" w:fill="auto"/>
            <w:vAlign w:val="center"/>
          </w:tcPr>
          <w:p w14:paraId="55FC8EC4">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5、在A标准照明体下的显色指数Ra</w:t>
            </w:r>
          </w:p>
          <w:p w14:paraId="54FDD58F">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10mm成人胸腹腔镜显色指数Ra：≥80%；</w:t>
            </w:r>
          </w:p>
          <w:p w14:paraId="28F6BF6B">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5mm小儿胸腹腔镜显色指数Ra：≥80%；</w:t>
            </w:r>
          </w:p>
          <w:p w14:paraId="1D1A3800">
            <w:pPr>
              <w:pStyle w:val="10"/>
              <w:widowControl/>
              <w:shd w:val="clear" w:color="auto" w:fill="FFFFFF"/>
              <w:spacing w:before="144" w:line="240" w:lineRule="exact"/>
              <w:rPr>
                <w:rFonts w:ascii="宋体" w:hAnsi="宋体" w:eastAsia="宋体" w:cs="宋体"/>
                <w:color w:val="333333"/>
                <w:sz w:val="21"/>
                <w:szCs w:val="21"/>
                <w:shd w:val="clear" w:color="auto" w:fill="FFFFFF"/>
              </w:rPr>
            </w:pPr>
          </w:p>
        </w:tc>
      </w:tr>
      <w:tr w14:paraId="31667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50" w:hRule="exact"/>
        </w:trPr>
        <w:tc>
          <w:tcPr>
            <w:tcW w:w="1053" w:type="dxa"/>
            <w:vAlign w:val="center"/>
          </w:tcPr>
          <w:p w14:paraId="5160F4C8">
            <w:pPr>
              <w:ind w:firstLine="0"/>
              <w:jc w:val="center"/>
              <w:rPr>
                <w:rFonts w:ascii="宋体" w:hAnsi="宋体" w:eastAsia="宋体" w:cs="宋体"/>
                <w:b/>
                <w:bCs/>
                <w:sz w:val="18"/>
                <w:szCs w:val="18"/>
              </w:rPr>
            </w:pPr>
          </w:p>
        </w:tc>
        <w:tc>
          <w:tcPr>
            <w:tcW w:w="889" w:type="dxa"/>
            <w:shd w:val="clear" w:color="auto" w:fill="auto"/>
            <w:vAlign w:val="center"/>
          </w:tcPr>
          <w:p w14:paraId="0F9B730D">
            <w:pPr>
              <w:ind w:firstLine="0"/>
              <w:jc w:val="center"/>
              <w:rPr>
                <w:rFonts w:ascii="宋体" w:hAnsi="宋体" w:eastAsia="宋体" w:cs="宋体"/>
                <w:b/>
                <w:bCs/>
                <w:sz w:val="18"/>
                <w:szCs w:val="18"/>
              </w:rPr>
            </w:pPr>
            <w:r>
              <w:rPr>
                <w:rFonts w:hint="eastAsia" w:ascii="宋体" w:hAnsi="宋体" w:eastAsia="宋体" w:cs="宋体"/>
                <w:b/>
                <w:bCs/>
                <w:sz w:val="18"/>
                <w:szCs w:val="18"/>
              </w:rPr>
              <w:t>12</w:t>
            </w:r>
          </w:p>
        </w:tc>
        <w:tc>
          <w:tcPr>
            <w:tcW w:w="7119" w:type="dxa"/>
            <w:shd w:val="clear" w:color="auto" w:fill="auto"/>
            <w:vAlign w:val="center"/>
          </w:tcPr>
          <w:p w14:paraId="59997DC2">
            <w:pPr>
              <w:pStyle w:val="10"/>
              <w:widowControl/>
              <w:numPr>
                <w:ilvl w:val="0"/>
                <w:numId w:val="1"/>
              </w:numPr>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在D65标准照明体下的显色指数Ra</w:t>
            </w:r>
          </w:p>
          <w:p w14:paraId="707A529E">
            <w:pPr>
              <w:pStyle w:val="10"/>
              <w:widowControl/>
              <w:numPr>
                <w:ilvl w:val="255"/>
                <w:numId w:val="0"/>
              </w:numPr>
              <w:shd w:val="clear" w:color="auto" w:fill="FFFFFF"/>
              <w:spacing w:before="144" w:line="240" w:lineRule="exact"/>
              <w:rPr>
                <w:rFonts w:ascii="宋体" w:hAnsi="宋体" w:eastAsia="宋体" w:cs="宋体"/>
                <w:color w:val="333333"/>
                <w:sz w:val="21"/>
                <w:szCs w:val="21"/>
                <w:shd w:val="clear" w:color="auto" w:fill="FFFFFF"/>
              </w:rPr>
            </w:pPr>
            <w:r>
              <w:rPr>
                <w:rFonts w:ascii="宋体" w:hAnsi="宋体" w:eastAsia="宋体" w:cs="宋体"/>
                <w:color w:val="333333"/>
                <w:sz w:val="21"/>
                <w:szCs w:val="21"/>
                <w:shd w:val="clear" w:color="auto" w:fill="FFFFFF"/>
              </w:rPr>
              <w:t>10mm成人胸腹腔镜显色指数Ra：≥8</w:t>
            </w:r>
            <w:r>
              <w:rPr>
                <w:rFonts w:hint="eastAsia" w:ascii="宋体" w:hAnsi="宋体" w:eastAsia="宋体" w:cs="宋体"/>
                <w:color w:val="333333"/>
                <w:sz w:val="21"/>
                <w:szCs w:val="21"/>
                <w:shd w:val="clear" w:color="auto" w:fill="FFFFFF"/>
              </w:rPr>
              <w:t>0</w:t>
            </w:r>
            <w:r>
              <w:rPr>
                <w:rFonts w:ascii="宋体" w:hAnsi="宋体" w:eastAsia="宋体" w:cs="宋体"/>
                <w:color w:val="333333"/>
                <w:sz w:val="21"/>
                <w:szCs w:val="21"/>
                <w:shd w:val="clear" w:color="auto" w:fill="FFFFFF"/>
              </w:rPr>
              <w:t>%；</w:t>
            </w:r>
          </w:p>
          <w:p w14:paraId="1FC05AC1">
            <w:pPr>
              <w:pStyle w:val="10"/>
              <w:widowControl/>
              <w:numPr>
                <w:ilvl w:val="255"/>
                <w:numId w:val="0"/>
              </w:numPr>
              <w:shd w:val="clear" w:color="auto" w:fill="FFFFFF"/>
              <w:spacing w:before="144" w:line="240" w:lineRule="exact"/>
              <w:rPr>
                <w:rFonts w:ascii="宋体" w:hAnsi="宋体" w:eastAsia="宋体" w:cs="宋体"/>
                <w:color w:val="333333"/>
                <w:sz w:val="21"/>
                <w:szCs w:val="21"/>
                <w:shd w:val="clear" w:color="auto" w:fill="FFFFFF"/>
              </w:rPr>
            </w:pPr>
            <w:r>
              <w:rPr>
                <w:rFonts w:ascii="宋体" w:hAnsi="宋体" w:eastAsia="宋体" w:cs="宋体"/>
                <w:color w:val="333333"/>
                <w:sz w:val="21"/>
                <w:szCs w:val="21"/>
                <w:shd w:val="clear" w:color="auto" w:fill="FFFFFF"/>
              </w:rPr>
              <w:t>5mm小儿胸腹腔镜显色指数Ra：≥80%；</w:t>
            </w:r>
          </w:p>
        </w:tc>
      </w:tr>
      <w:tr w14:paraId="2A82D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0" w:hRule="exact"/>
        </w:trPr>
        <w:tc>
          <w:tcPr>
            <w:tcW w:w="1053" w:type="dxa"/>
            <w:vAlign w:val="center"/>
          </w:tcPr>
          <w:p w14:paraId="4245A6A0">
            <w:pPr>
              <w:ind w:firstLine="0"/>
              <w:jc w:val="center"/>
              <w:rPr>
                <w:rFonts w:ascii="宋体" w:hAnsi="宋体" w:eastAsia="宋体" w:cs="宋体"/>
                <w:b/>
                <w:bCs/>
                <w:sz w:val="18"/>
                <w:szCs w:val="18"/>
              </w:rPr>
            </w:pPr>
            <w:r>
              <w:rPr>
                <w:rFonts w:hint="eastAsia" w:ascii="宋体" w:hAnsi="宋体" w:eastAsia="宋体" w:cs="宋体"/>
                <w:sz w:val="24"/>
                <w:szCs w:val="24"/>
              </w:rPr>
              <w:t>▲</w:t>
            </w:r>
          </w:p>
        </w:tc>
        <w:tc>
          <w:tcPr>
            <w:tcW w:w="889" w:type="dxa"/>
            <w:vAlign w:val="center"/>
          </w:tcPr>
          <w:p w14:paraId="05161754">
            <w:pPr>
              <w:ind w:firstLine="0"/>
              <w:jc w:val="center"/>
              <w:rPr>
                <w:rFonts w:ascii="宋体" w:hAnsi="宋体" w:eastAsia="宋体" w:cs="宋体"/>
                <w:b/>
                <w:bCs/>
                <w:sz w:val="18"/>
                <w:szCs w:val="18"/>
              </w:rPr>
            </w:pPr>
            <w:r>
              <w:rPr>
                <w:rFonts w:hint="eastAsia" w:ascii="宋体" w:hAnsi="宋体" w:eastAsia="宋体" w:cs="宋体"/>
                <w:b/>
                <w:bCs/>
                <w:sz w:val="18"/>
                <w:szCs w:val="18"/>
              </w:rPr>
              <w:t>13</w:t>
            </w:r>
          </w:p>
        </w:tc>
        <w:tc>
          <w:tcPr>
            <w:tcW w:w="7119" w:type="dxa"/>
            <w:shd w:val="clear" w:color="auto" w:fill="auto"/>
            <w:vAlign w:val="center"/>
          </w:tcPr>
          <w:p w14:paraId="3B89A4C4">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7、光学视管分辨率≥1080P；</w:t>
            </w:r>
          </w:p>
        </w:tc>
      </w:tr>
      <w:tr w14:paraId="5A6853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0" w:hRule="exact"/>
        </w:trPr>
        <w:tc>
          <w:tcPr>
            <w:tcW w:w="1053" w:type="dxa"/>
            <w:vAlign w:val="center"/>
          </w:tcPr>
          <w:p w14:paraId="786560A1">
            <w:pPr>
              <w:ind w:firstLine="0"/>
              <w:jc w:val="center"/>
              <w:rPr>
                <w:rFonts w:ascii="宋体" w:hAnsi="宋体" w:eastAsia="宋体" w:cs="宋体"/>
                <w:b/>
                <w:bCs/>
                <w:sz w:val="18"/>
                <w:szCs w:val="18"/>
              </w:rPr>
            </w:pPr>
            <w:r>
              <w:rPr>
                <w:rFonts w:hint="eastAsia" w:ascii="宋体" w:hAnsi="宋体" w:eastAsia="宋体" w:cs="宋体"/>
                <w:sz w:val="24"/>
                <w:szCs w:val="24"/>
              </w:rPr>
              <w:t>▲</w:t>
            </w:r>
          </w:p>
        </w:tc>
        <w:tc>
          <w:tcPr>
            <w:tcW w:w="889" w:type="dxa"/>
            <w:vAlign w:val="center"/>
          </w:tcPr>
          <w:p w14:paraId="6438F3F3">
            <w:pPr>
              <w:ind w:firstLine="0"/>
              <w:jc w:val="center"/>
              <w:rPr>
                <w:rFonts w:ascii="宋体" w:hAnsi="宋体" w:eastAsia="宋体" w:cs="宋体"/>
                <w:b/>
                <w:bCs/>
                <w:sz w:val="18"/>
                <w:szCs w:val="18"/>
              </w:rPr>
            </w:pPr>
            <w:r>
              <w:rPr>
                <w:rFonts w:hint="eastAsia" w:ascii="宋体" w:hAnsi="宋体" w:eastAsia="宋体" w:cs="宋体"/>
                <w:b/>
                <w:bCs/>
                <w:sz w:val="18"/>
                <w:szCs w:val="18"/>
              </w:rPr>
              <w:t>14</w:t>
            </w:r>
          </w:p>
        </w:tc>
        <w:tc>
          <w:tcPr>
            <w:tcW w:w="7119" w:type="dxa"/>
            <w:shd w:val="clear" w:color="auto" w:fill="auto"/>
            <w:vAlign w:val="center"/>
          </w:tcPr>
          <w:p w14:paraId="77F3AE08">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8、采用蓝宝石镜面；</w:t>
            </w:r>
          </w:p>
        </w:tc>
      </w:tr>
      <w:tr w14:paraId="3A8D5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0" w:hRule="exact"/>
        </w:trPr>
        <w:tc>
          <w:tcPr>
            <w:tcW w:w="1053" w:type="dxa"/>
            <w:vAlign w:val="center"/>
          </w:tcPr>
          <w:p w14:paraId="6F50AE7A">
            <w:pPr>
              <w:ind w:firstLine="0"/>
              <w:jc w:val="center"/>
              <w:rPr>
                <w:rFonts w:ascii="宋体" w:hAnsi="宋体" w:eastAsia="宋体" w:cs="宋体"/>
                <w:b/>
                <w:bCs/>
                <w:sz w:val="18"/>
                <w:szCs w:val="18"/>
              </w:rPr>
            </w:pPr>
          </w:p>
        </w:tc>
        <w:tc>
          <w:tcPr>
            <w:tcW w:w="889" w:type="dxa"/>
            <w:vAlign w:val="center"/>
          </w:tcPr>
          <w:p w14:paraId="054261AE">
            <w:pPr>
              <w:ind w:firstLine="0"/>
              <w:jc w:val="center"/>
              <w:rPr>
                <w:rFonts w:ascii="宋体" w:hAnsi="宋体" w:eastAsia="宋体" w:cs="宋体"/>
                <w:b/>
                <w:bCs/>
                <w:sz w:val="18"/>
                <w:szCs w:val="18"/>
              </w:rPr>
            </w:pPr>
            <w:r>
              <w:rPr>
                <w:rFonts w:hint="eastAsia" w:ascii="宋体" w:hAnsi="宋体" w:eastAsia="宋体" w:cs="宋体"/>
                <w:b/>
                <w:bCs/>
                <w:sz w:val="18"/>
                <w:szCs w:val="18"/>
              </w:rPr>
              <w:t>15</w:t>
            </w:r>
          </w:p>
        </w:tc>
        <w:tc>
          <w:tcPr>
            <w:tcW w:w="7119" w:type="dxa"/>
            <w:shd w:val="clear" w:color="auto" w:fill="auto"/>
            <w:vAlign w:val="center"/>
          </w:tcPr>
          <w:p w14:paraId="5EA9FE4A">
            <w:pPr>
              <w:pStyle w:val="10"/>
              <w:widowControl/>
              <w:shd w:val="clear" w:color="auto" w:fill="FFFFFF"/>
              <w:spacing w:before="144" w:line="240" w:lineRule="exact"/>
              <w:rPr>
                <w:rFonts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9、整体可浸泡、气熏，可采用高温高压消毒</w:t>
            </w:r>
          </w:p>
        </w:tc>
      </w:tr>
      <w:tr w14:paraId="4D583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55" w:hRule="exact"/>
        </w:trPr>
        <w:tc>
          <w:tcPr>
            <w:tcW w:w="1942" w:type="dxa"/>
            <w:gridSpan w:val="2"/>
            <w:vAlign w:val="center"/>
          </w:tcPr>
          <w:p w14:paraId="012537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b/>
                <w:bCs/>
                <w:sz w:val="18"/>
                <w:szCs w:val="18"/>
              </w:rPr>
            </w:pPr>
            <w:r>
              <w:rPr>
                <w:rFonts w:hint="eastAsia" w:ascii="宋体" w:hAnsi="宋体" w:eastAsia="宋体" w:cs="宋体"/>
                <w:color w:val="auto"/>
                <w:sz w:val="24"/>
                <w:szCs w:val="24"/>
                <w:highlight w:val="none"/>
              </w:rPr>
              <w:t>说明</w:t>
            </w:r>
          </w:p>
        </w:tc>
        <w:tc>
          <w:tcPr>
            <w:tcW w:w="7119" w:type="dxa"/>
            <w:shd w:val="clear" w:color="auto" w:fill="auto"/>
            <w:vAlign w:val="center"/>
          </w:tcPr>
          <w:p w14:paraId="4C226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333333"/>
                <w:sz w:val="21"/>
                <w:szCs w:val="21"/>
                <w:shd w:val="clear" w:color="auto" w:fill="FFFFFF"/>
              </w:rPr>
            </w:pPr>
            <w:r>
              <w:rPr>
                <w:rFonts w:hint="eastAsia" w:ascii="宋体" w:hAnsi="宋体" w:eastAsia="宋体" w:cs="宋体"/>
                <w:color w:val="auto"/>
                <w:sz w:val="24"/>
                <w:szCs w:val="24"/>
                <w:highlight w:val="none"/>
              </w:rPr>
              <w:t>打“★”号条款为实质性条款，若有任何一条负偏离或不满足则导致投标无效。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打“▲”号条款为重要技术参数，若有部分“▲”条款未响应或不满足，将导致其响应性评审加重扣分，但不作为无效投标条款。</w:t>
            </w:r>
          </w:p>
        </w:tc>
      </w:tr>
    </w:tbl>
    <w:p w14:paraId="2C62244E">
      <w:pPr>
        <w:pStyle w:val="15"/>
        <w:ind w:left="0" w:leftChars="0" w:firstLine="0" w:firstLineChars="0"/>
        <w:rPr>
          <w:rFonts w:hint="eastAsia" w:ascii="方正小标宋简体" w:eastAsia="方正小标宋简体"/>
          <w:sz w:val="44"/>
          <w:szCs w:val="44"/>
        </w:rPr>
      </w:pPr>
    </w:p>
    <w:p w14:paraId="413094B1">
      <w:pPr>
        <w:pStyle w:val="15"/>
        <w:ind w:left="0" w:leftChars="0" w:firstLine="0" w:firstLineChars="0"/>
        <w:rPr>
          <w:rFonts w:hint="eastAsia" w:ascii="方正小标宋简体" w:eastAsia="方正小标宋简体"/>
          <w:sz w:val="44"/>
          <w:szCs w:val="44"/>
        </w:rPr>
      </w:pPr>
    </w:p>
    <w:p w14:paraId="15312134">
      <w:pPr>
        <w:pStyle w:val="15"/>
        <w:ind w:left="0" w:leftChars="0" w:firstLine="0" w:firstLineChars="0"/>
        <w:rPr>
          <w:rFonts w:hint="eastAsia" w:ascii="方正小标宋简体" w:eastAsia="方正小标宋简体"/>
          <w:sz w:val="44"/>
          <w:szCs w:val="44"/>
        </w:rPr>
      </w:pPr>
    </w:p>
    <w:p w14:paraId="0930D591">
      <w:pPr>
        <w:pStyle w:val="15"/>
        <w:ind w:left="0" w:leftChars="0" w:firstLine="0" w:firstLineChars="0"/>
        <w:rPr>
          <w:rFonts w:hint="eastAsia" w:ascii="方正小标宋简体" w:eastAsia="方正小标宋简体"/>
          <w:sz w:val="44"/>
          <w:szCs w:val="44"/>
        </w:rPr>
      </w:pPr>
    </w:p>
    <w:p w14:paraId="6DF9D9AA">
      <w:pPr>
        <w:pStyle w:val="15"/>
        <w:ind w:left="0" w:leftChars="0" w:firstLine="0" w:firstLineChars="0"/>
        <w:rPr>
          <w:rFonts w:hint="eastAsia" w:ascii="方正小标宋简体" w:eastAsia="方正小标宋简体"/>
          <w:sz w:val="44"/>
          <w:szCs w:val="44"/>
        </w:rPr>
      </w:pPr>
    </w:p>
    <w:p w14:paraId="5DACEEFF">
      <w:pPr>
        <w:pStyle w:val="15"/>
        <w:ind w:left="0" w:leftChars="0" w:firstLine="0" w:firstLineChars="0"/>
        <w:rPr>
          <w:rFonts w:hint="eastAsia" w:ascii="方正小标宋简体" w:eastAsia="方正小标宋简体"/>
          <w:sz w:val="44"/>
          <w:szCs w:val="44"/>
        </w:rPr>
      </w:pPr>
    </w:p>
    <w:p w14:paraId="0CE53A3D">
      <w:pPr>
        <w:pStyle w:val="15"/>
        <w:ind w:left="0" w:leftChars="0" w:firstLine="0" w:firstLineChars="0"/>
        <w:rPr>
          <w:rFonts w:hint="eastAsia" w:ascii="方正小标宋简体" w:eastAsia="方正小标宋简体"/>
          <w:sz w:val="44"/>
          <w:szCs w:val="44"/>
        </w:rPr>
      </w:pPr>
    </w:p>
    <w:p w14:paraId="561ADAFC">
      <w:pPr>
        <w:pStyle w:val="15"/>
        <w:ind w:left="0" w:leftChars="0" w:firstLine="0" w:firstLineChars="0"/>
        <w:rPr>
          <w:rFonts w:hint="eastAsia" w:ascii="方正小标宋简体" w:eastAsia="方正小标宋简体"/>
          <w:sz w:val="44"/>
          <w:szCs w:val="44"/>
        </w:rPr>
      </w:pPr>
    </w:p>
    <w:p w14:paraId="68435C93">
      <w:pPr>
        <w:pStyle w:val="15"/>
        <w:ind w:left="0" w:leftChars="0" w:firstLine="0" w:firstLineChars="0"/>
        <w:rPr>
          <w:rFonts w:hint="eastAsia" w:ascii="方正小标宋简体" w:eastAsia="方正小标宋简体"/>
          <w:sz w:val="44"/>
          <w:szCs w:val="44"/>
        </w:rPr>
      </w:pPr>
    </w:p>
    <w:p w14:paraId="3996D5BB">
      <w:pPr>
        <w:pStyle w:val="15"/>
        <w:ind w:left="0" w:leftChars="0" w:firstLine="0" w:firstLineChars="0"/>
        <w:rPr>
          <w:rFonts w:hint="eastAsia" w:ascii="方正小标宋简体" w:eastAsia="方正小标宋简体"/>
          <w:sz w:val="44"/>
          <w:szCs w:val="44"/>
        </w:rPr>
      </w:pPr>
    </w:p>
    <w:p w14:paraId="09CCAC81">
      <w:pPr>
        <w:rPr>
          <w:rFonts w:hint="eastAsia" w:ascii="仿宋_GB2312" w:hAnsi="仿宋"/>
          <w:b/>
          <w:szCs w:val="32"/>
        </w:rPr>
      </w:pPr>
      <w:r>
        <w:rPr>
          <w:rFonts w:hint="eastAsia" w:asciiTheme="minorEastAsia" w:hAnsiTheme="minorEastAsia" w:eastAsiaTheme="minorEastAsia" w:cstheme="minorEastAsia"/>
          <w:b/>
          <w:bCs/>
          <w:lang w:eastAsia="zh-CN"/>
        </w:rPr>
        <w:t>二、</w:t>
      </w:r>
      <w:r>
        <w:rPr>
          <w:rFonts w:hint="eastAsia" w:asciiTheme="minorEastAsia" w:hAnsiTheme="minorEastAsia" w:eastAsiaTheme="minorEastAsia" w:cstheme="minorEastAsia"/>
          <w:b/>
          <w:bCs/>
          <w:szCs w:val="32"/>
        </w:rPr>
        <w:t>评审因素及对应的分值、权重：</w:t>
      </w:r>
    </w:p>
    <w:tbl>
      <w:tblPr>
        <w:tblStyle w:val="12"/>
        <w:tblW w:w="10038"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1623"/>
        <w:gridCol w:w="6811"/>
      </w:tblGrid>
      <w:tr w14:paraId="2CCE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vAlign w:val="top"/>
          </w:tcPr>
          <w:p w14:paraId="1405E18A">
            <w:pPr>
              <w:keepNext w:val="0"/>
              <w:keepLines w:val="0"/>
              <w:suppressLineNumbers w:val="0"/>
              <w:spacing w:before="0" w:beforeAutospacing="0" w:after="0" w:afterAutospacing="0" w:line="240" w:lineRule="auto"/>
              <w:ind w:left="0" w:leftChars="0" w:right="0" w:rightChars="0" w:firstLine="0" w:firstLineChars="0"/>
              <w:jc w:val="both"/>
              <w:rPr>
                <w:rFonts w:hint="eastAsia" w:ascii="仿宋" w:hAnsi="仿宋" w:eastAsia="仿宋"/>
                <w:sz w:val="28"/>
                <w:szCs w:val="28"/>
                <w:vertAlign w:val="baseline"/>
              </w:rPr>
            </w:pPr>
            <w:r>
              <w:rPr>
                <w:rFonts w:hint="eastAsia" w:ascii="仿宋" w:hAnsi="仿宋" w:eastAsia="仿宋" w:cs="仿宋"/>
                <w:sz w:val="28"/>
                <w:szCs w:val="28"/>
              </w:rPr>
              <w:t>评审因素</w:t>
            </w:r>
          </w:p>
        </w:tc>
        <w:tc>
          <w:tcPr>
            <w:tcW w:w="8434" w:type="dxa"/>
            <w:gridSpan w:val="2"/>
            <w:vAlign w:val="top"/>
          </w:tcPr>
          <w:p w14:paraId="145639A0">
            <w:pPr>
              <w:keepNext w:val="0"/>
              <w:keepLines w:val="0"/>
              <w:suppressLineNumbers w:val="0"/>
              <w:spacing w:before="0" w:beforeAutospacing="0" w:after="0" w:afterAutospacing="0" w:line="240" w:lineRule="auto"/>
              <w:ind w:left="0" w:leftChars="0" w:right="0" w:rightChars="0" w:firstLine="641" w:firstLineChars="0"/>
              <w:jc w:val="center"/>
              <w:rPr>
                <w:rFonts w:hint="eastAsia" w:ascii="仿宋" w:hAnsi="仿宋" w:eastAsia="仿宋"/>
                <w:sz w:val="28"/>
                <w:szCs w:val="28"/>
                <w:vertAlign w:val="baseline"/>
              </w:rPr>
            </w:pPr>
            <w:r>
              <w:rPr>
                <w:rFonts w:hint="eastAsia" w:ascii="仿宋" w:hAnsi="仿宋" w:eastAsia="仿宋" w:cs="仿宋"/>
                <w:sz w:val="28"/>
                <w:szCs w:val="28"/>
              </w:rPr>
              <w:t>评审标准</w:t>
            </w:r>
          </w:p>
        </w:tc>
      </w:tr>
      <w:tr w14:paraId="662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vAlign w:val="top"/>
          </w:tcPr>
          <w:p w14:paraId="616BBE66">
            <w:pPr>
              <w:keepNext w:val="0"/>
              <w:keepLines w:val="0"/>
              <w:suppressLineNumbers w:val="0"/>
              <w:spacing w:before="0" w:beforeAutospacing="0" w:after="0" w:afterAutospacing="0" w:line="240" w:lineRule="auto"/>
              <w:ind w:left="0" w:leftChars="0" w:right="0" w:rightChars="0" w:firstLine="0" w:firstLineChars="0"/>
              <w:jc w:val="both"/>
              <w:rPr>
                <w:rFonts w:hint="eastAsia" w:ascii="仿宋" w:hAnsi="仿宋" w:eastAsia="仿宋"/>
                <w:sz w:val="28"/>
                <w:szCs w:val="28"/>
                <w:vertAlign w:val="baseline"/>
              </w:rPr>
            </w:pPr>
            <w:r>
              <w:rPr>
                <w:rFonts w:hint="eastAsia" w:ascii="仿宋" w:hAnsi="仿宋" w:eastAsia="仿宋" w:cs="仿宋"/>
                <w:sz w:val="28"/>
                <w:szCs w:val="28"/>
              </w:rPr>
              <w:t>分值构成</w:t>
            </w:r>
          </w:p>
        </w:tc>
        <w:tc>
          <w:tcPr>
            <w:tcW w:w="8434" w:type="dxa"/>
            <w:gridSpan w:val="2"/>
            <w:vAlign w:val="top"/>
          </w:tcPr>
          <w:p w14:paraId="45E54769">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技术</w:t>
            </w:r>
            <w:r>
              <w:rPr>
                <w:rFonts w:hint="eastAsia" w:ascii="仿宋" w:hAnsi="仿宋" w:eastAsia="仿宋" w:cs="仿宋"/>
                <w:sz w:val="28"/>
                <w:szCs w:val="28"/>
              </w:rPr>
              <w:t>部分</w:t>
            </w:r>
            <w:r>
              <w:rPr>
                <w:rFonts w:hint="eastAsia" w:ascii="仿宋" w:hAnsi="仿宋" w:eastAsia="仿宋" w:cs="仿宋"/>
                <w:sz w:val="28"/>
                <w:szCs w:val="28"/>
                <w:lang w:val="en-US" w:eastAsia="zh-CN"/>
              </w:rPr>
              <w:t>62</w:t>
            </w:r>
            <w:r>
              <w:rPr>
                <w:rFonts w:hint="eastAsia" w:ascii="仿宋" w:hAnsi="仿宋" w:eastAsia="仿宋" w:cs="仿宋"/>
                <w:sz w:val="28"/>
                <w:szCs w:val="28"/>
              </w:rPr>
              <w:t>.0分</w:t>
            </w:r>
          </w:p>
          <w:p w14:paraId="2ECD7674">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商务</w:t>
            </w:r>
            <w:r>
              <w:rPr>
                <w:rFonts w:hint="eastAsia" w:ascii="仿宋" w:hAnsi="仿宋" w:eastAsia="仿宋" w:cs="仿宋"/>
                <w:sz w:val="28"/>
                <w:szCs w:val="28"/>
              </w:rPr>
              <w:t>部分</w:t>
            </w:r>
            <w:r>
              <w:rPr>
                <w:rFonts w:hint="eastAsia" w:ascii="仿宋" w:hAnsi="仿宋" w:eastAsia="仿宋" w:cs="仿宋"/>
                <w:sz w:val="28"/>
                <w:szCs w:val="28"/>
                <w:lang w:val="en-US" w:eastAsia="zh-CN"/>
              </w:rPr>
              <w:t>8</w:t>
            </w:r>
            <w:r>
              <w:rPr>
                <w:rFonts w:hint="eastAsia" w:ascii="仿宋" w:hAnsi="仿宋" w:eastAsia="仿宋" w:cs="仿宋"/>
                <w:sz w:val="28"/>
                <w:szCs w:val="28"/>
              </w:rPr>
              <w:t>.0分</w:t>
            </w:r>
          </w:p>
          <w:p w14:paraId="39FDB843">
            <w:pPr>
              <w:keepNext w:val="0"/>
              <w:keepLines w:val="0"/>
              <w:suppressLineNumbers w:val="0"/>
              <w:spacing w:before="0" w:beforeAutospacing="0" w:after="0" w:afterAutospacing="0" w:line="240" w:lineRule="auto"/>
              <w:ind w:left="0" w:leftChars="0" w:right="0" w:rightChars="0" w:firstLine="0" w:firstLineChars="0"/>
              <w:rPr>
                <w:rFonts w:hint="eastAsia" w:ascii="仿宋" w:hAnsi="仿宋" w:eastAsia="仿宋"/>
                <w:sz w:val="28"/>
                <w:szCs w:val="28"/>
                <w:vertAlign w:val="baseline"/>
              </w:rPr>
            </w:pPr>
            <w:r>
              <w:rPr>
                <w:rFonts w:hint="eastAsia" w:ascii="仿宋" w:hAnsi="仿宋" w:eastAsia="仿宋" w:cs="仿宋"/>
                <w:sz w:val="28"/>
                <w:szCs w:val="28"/>
              </w:rPr>
              <w:t>报价得分</w:t>
            </w:r>
            <w:r>
              <w:rPr>
                <w:rFonts w:hint="eastAsia" w:ascii="仿宋" w:hAnsi="仿宋" w:eastAsia="仿宋" w:cs="仿宋"/>
                <w:sz w:val="28"/>
                <w:szCs w:val="28"/>
                <w:lang w:val="en-US" w:eastAsia="zh-CN"/>
              </w:rPr>
              <w:t>3</w:t>
            </w:r>
            <w:r>
              <w:rPr>
                <w:rFonts w:hint="eastAsia" w:ascii="仿宋" w:hAnsi="仿宋" w:eastAsia="仿宋" w:cs="仿宋"/>
                <w:sz w:val="28"/>
                <w:szCs w:val="28"/>
              </w:rPr>
              <w:t>0.0分</w:t>
            </w:r>
          </w:p>
        </w:tc>
      </w:tr>
      <w:tr w14:paraId="61FE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604" w:type="dxa"/>
            <w:vMerge w:val="restart"/>
          </w:tcPr>
          <w:p w14:paraId="67EAAABB">
            <w:pPr>
              <w:pStyle w:val="15"/>
              <w:keepNext w:val="0"/>
              <w:keepLines w:val="0"/>
              <w:suppressLineNumbers w:val="0"/>
              <w:spacing w:beforeAutospacing="0" w:afterAutospacing="0" w:line="240" w:lineRule="auto"/>
              <w:ind w:left="0" w:right="0" w:firstLine="0"/>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技术部分</w:t>
            </w:r>
          </w:p>
        </w:tc>
        <w:tc>
          <w:tcPr>
            <w:tcW w:w="1623" w:type="dxa"/>
            <w:vAlign w:val="top"/>
          </w:tcPr>
          <w:p w14:paraId="623A1992">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sz w:val="28"/>
                <w:szCs w:val="28"/>
                <w:vertAlign w:val="baseline"/>
              </w:rPr>
            </w:pPr>
            <w:r>
              <w:rPr>
                <w:rFonts w:hint="eastAsia" w:ascii="仿宋" w:hAnsi="仿宋" w:eastAsia="仿宋" w:cs="仿宋"/>
                <w:sz w:val="28"/>
                <w:szCs w:val="28"/>
              </w:rPr>
              <w:t>重要技术条款响应  (</w:t>
            </w:r>
            <w:r>
              <w:rPr>
                <w:rFonts w:hint="eastAsia" w:ascii="仿宋" w:hAnsi="仿宋" w:eastAsia="仿宋" w:cs="仿宋"/>
                <w:sz w:val="28"/>
                <w:szCs w:val="28"/>
                <w:lang w:val="en-US" w:eastAsia="zh-CN"/>
              </w:rPr>
              <w:t>15</w:t>
            </w:r>
            <w:r>
              <w:rPr>
                <w:rFonts w:hint="eastAsia" w:ascii="仿宋" w:hAnsi="仿宋" w:eastAsia="仿宋" w:cs="仿宋"/>
                <w:sz w:val="28"/>
                <w:szCs w:val="28"/>
              </w:rPr>
              <w:t>.0分)</w:t>
            </w:r>
          </w:p>
        </w:tc>
        <w:tc>
          <w:tcPr>
            <w:tcW w:w="6811" w:type="dxa"/>
            <w:vAlign w:val="top"/>
          </w:tcPr>
          <w:p w14:paraId="35ED1096">
            <w:pPr>
              <w:keepNext w:val="0"/>
              <w:keepLines w:val="0"/>
              <w:suppressLineNumbers w:val="0"/>
              <w:snapToGrid/>
              <w:spacing w:before="0" w:beforeAutospacing="0" w:after="0" w:afterAutospacing="0" w:line="240" w:lineRule="auto"/>
              <w:ind w:left="0" w:right="0" w:firstLine="0"/>
              <w:jc w:val="left"/>
              <w:rPr>
                <w:rFonts w:hint="default" w:ascii="仿宋" w:hAnsi="仿宋" w:eastAsia="仿宋" w:cs="仿宋"/>
                <w:color w:val="auto"/>
                <w:sz w:val="28"/>
                <w:szCs w:val="28"/>
                <w:shd w:val="clear" w:color="auto" w:fill="auto"/>
                <w:lang w:bidi="ar"/>
              </w:rPr>
            </w:pPr>
            <w:r>
              <w:rPr>
                <w:rFonts w:hint="eastAsia" w:ascii="仿宋" w:hAnsi="仿宋" w:eastAsia="仿宋" w:cs="仿宋"/>
                <w:color w:val="auto"/>
                <w:sz w:val="28"/>
                <w:szCs w:val="28"/>
                <w:shd w:val="clear" w:color="auto" w:fill="auto"/>
                <w:lang w:bidi="ar"/>
              </w:rPr>
              <w:t>根据各</w:t>
            </w:r>
            <w:r>
              <w:rPr>
                <w:rFonts w:hint="eastAsia" w:ascii="仿宋" w:hAnsi="仿宋" w:eastAsia="仿宋" w:cs="仿宋"/>
                <w:color w:val="auto"/>
                <w:sz w:val="28"/>
                <w:szCs w:val="28"/>
                <w:shd w:val="clear" w:color="auto" w:fill="auto"/>
                <w:lang w:val="en-US" w:eastAsia="zh-CN" w:bidi="ar"/>
              </w:rPr>
              <w:t>供应商</w:t>
            </w:r>
            <w:r>
              <w:rPr>
                <w:rFonts w:hint="eastAsia" w:ascii="仿宋" w:hAnsi="仿宋" w:eastAsia="仿宋" w:cs="仿宋"/>
                <w:color w:val="auto"/>
                <w:sz w:val="28"/>
                <w:szCs w:val="28"/>
                <w:shd w:val="clear" w:color="auto" w:fill="auto"/>
                <w:lang w:bidi="ar"/>
              </w:rPr>
              <w:t>对</w:t>
            </w:r>
            <w:r>
              <w:rPr>
                <w:rFonts w:hint="eastAsia" w:ascii="仿宋" w:hAnsi="仿宋" w:eastAsia="仿宋" w:cs="仿宋"/>
                <w:color w:val="auto"/>
                <w:sz w:val="28"/>
                <w:szCs w:val="28"/>
                <w:shd w:val="clear" w:color="auto" w:fill="auto"/>
                <w:lang w:eastAsia="zh-CN" w:bidi="ar"/>
              </w:rPr>
              <w:t>采购</w:t>
            </w:r>
            <w:r>
              <w:rPr>
                <w:rFonts w:hint="eastAsia" w:ascii="仿宋" w:hAnsi="仿宋" w:eastAsia="仿宋" w:cs="仿宋"/>
                <w:color w:val="auto"/>
                <w:sz w:val="28"/>
                <w:szCs w:val="28"/>
                <w:shd w:val="clear" w:color="auto" w:fill="auto"/>
                <w:lang w:bidi="ar"/>
              </w:rPr>
              <w:t>文件“具体技术(参数)要求</w:t>
            </w:r>
            <w:r>
              <w:rPr>
                <w:rFonts w:hint="eastAsia" w:ascii="仿宋" w:hAnsi="仿宋" w:eastAsia="仿宋" w:cs="仿宋"/>
                <w:color w:val="auto"/>
                <w:sz w:val="28"/>
                <w:szCs w:val="28"/>
                <w:shd w:val="clear" w:color="auto" w:fill="auto"/>
                <w:lang w:eastAsia="zh-CN" w:bidi="ar"/>
              </w:rPr>
              <w:t>”</w:t>
            </w:r>
            <w:r>
              <w:rPr>
                <w:rFonts w:hint="eastAsia" w:ascii="仿宋" w:hAnsi="仿宋" w:eastAsia="仿宋" w:cs="仿宋"/>
                <w:color w:val="auto"/>
                <w:sz w:val="28"/>
                <w:szCs w:val="28"/>
                <w:shd w:val="clear" w:color="auto" w:fill="auto"/>
                <w:lang w:val="en-US" w:eastAsia="zh-CN" w:bidi="ar"/>
              </w:rPr>
              <w:t>中对标注</w:t>
            </w:r>
            <w:r>
              <w:rPr>
                <w:rFonts w:hint="eastAsia" w:ascii="仿宋" w:hAnsi="仿宋" w:eastAsia="仿宋" w:cs="仿宋"/>
                <w:color w:val="auto"/>
                <w:sz w:val="28"/>
                <w:szCs w:val="28"/>
                <w:shd w:val="clear" w:color="auto" w:fill="auto"/>
                <w:lang w:bidi="ar"/>
              </w:rPr>
              <w:t>“▲”号</w:t>
            </w:r>
            <w:r>
              <w:rPr>
                <w:rFonts w:hint="eastAsia" w:ascii="仿宋" w:hAnsi="仿宋" w:eastAsia="仿宋" w:cs="仿宋"/>
                <w:color w:val="auto"/>
                <w:sz w:val="28"/>
                <w:szCs w:val="28"/>
                <w:shd w:val="clear" w:color="auto" w:fill="auto"/>
                <w:lang w:val="en-US" w:eastAsia="zh-CN" w:bidi="ar"/>
              </w:rPr>
              <w:t>的</w:t>
            </w:r>
            <w:r>
              <w:rPr>
                <w:rFonts w:hint="eastAsia" w:ascii="仿宋" w:hAnsi="仿宋" w:eastAsia="仿宋" w:cs="仿宋"/>
                <w:color w:val="auto"/>
                <w:sz w:val="28"/>
                <w:szCs w:val="28"/>
                <w:shd w:val="clear" w:color="auto" w:fill="auto"/>
                <w:lang w:bidi="ar"/>
              </w:rPr>
              <w:t>重要技术参数（共</w:t>
            </w:r>
            <w:r>
              <w:rPr>
                <w:rFonts w:hint="eastAsia" w:ascii="仿宋" w:hAnsi="仿宋" w:eastAsia="仿宋" w:cs="仿宋"/>
                <w:color w:val="auto"/>
                <w:sz w:val="28"/>
                <w:szCs w:val="28"/>
                <w:shd w:val="clear" w:color="auto" w:fill="auto"/>
                <w:lang w:val="en-US" w:eastAsia="zh-CN" w:bidi="ar"/>
              </w:rPr>
              <w:t>3条</w:t>
            </w:r>
            <w:r>
              <w:rPr>
                <w:rFonts w:hint="eastAsia" w:ascii="仿宋" w:hAnsi="仿宋" w:eastAsia="仿宋" w:cs="仿宋"/>
                <w:color w:val="auto"/>
                <w:sz w:val="28"/>
                <w:szCs w:val="28"/>
                <w:shd w:val="clear" w:color="auto" w:fill="auto"/>
                <w:lang w:bidi="ar"/>
              </w:rPr>
              <w:t>）的响应程度进行评分</w:t>
            </w:r>
            <w:r>
              <w:rPr>
                <w:rFonts w:hint="eastAsia" w:ascii="仿宋" w:hAnsi="仿宋" w:eastAsia="仿宋" w:cs="仿宋"/>
                <w:color w:val="auto"/>
                <w:sz w:val="28"/>
                <w:szCs w:val="28"/>
                <w:shd w:val="clear" w:color="auto" w:fill="auto"/>
                <w:lang w:eastAsia="zh-CN" w:bidi="ar"/>
              </w:rPr>
              <w:t>，</w:t>
            </w:r>
            <w:r>
              <w:rPr>
                <w:rFonts w:hint="eastAsia" w:ascii="仿宋" w:hAnsi="仿宋" w:eastAsia="仿宋" w:cs="仿宋"/>
                <w:color w:val="auto"/>
                <w:sz w:val="28"/>
                <w:szCs w:val="28"/>
                <w:shd w:val="clear" w:color="auto" w:fill="auto"/>
                <w:lang w:bidi="ar"/>
              </w:rPr>
              <w:t xml:space="preserve"> 每项满足或优于技术参数得</w:t>
            </w:r>
            <w:r>
              <w:rPr>
                <w:rFonts w:hint="eastAsia" w:ascii="仿宋" w:hAnsi="仿宋" w:eastAsia="仿宋" w:cs="仿宋"/>
                <w:color w:val="auto"/>
                <w:sz w:val="28"/>
                <w:szCs w:val="28"/>
                <w:shd w:val="clear" w:color="auto" w:fill="auto"/>
                <w:lang w:val="en-US" w:eastAsia="zh-CN" w:bidi="ar"/>
              </w:rPr>
              <w:t>5</w:t>
            </w:r>
            <w:r>
              <w:rPr>
                <w:rFonts w:hint="eastAsia" w:ascii="仿宋" w:hAnsi="仿宋" w:eastAsia="仿宋" w:cs="仿宋"/>
                <w:color w:val="auto"/>
                <w:sz w:val="28"/>
                <w:szCs w:val="28"/>
                <w:shd w:val="clear" w:color="auto" w:fill="auto"/>
                <w:lang w:bidi="ar"/>
              </w:rPr>
              <w:t>分，满分</w:t>
            </w:r>
            <w:r>
              <w:rPr>
                <w:rFonts w:hint="eastAsia" w:ascii="仿宋" w:hAnsi="仿宋" w:eastAsia="仿宋" w:cs="仿宋"/>
                <w:color w:val="auto"/>
                <w:sz w:val="28"/>
                <w:szCs w:val="28"/>
                <w:shd w:val="clear" w:color="auto" w:fill="auto"/>
                <w:lang w:val="en-US" w:eastAsia="zh-CN" w:bidi="ar"/>
              </w:rPr>
              <w:t>15</w:t>
            </w:r>
            <w:r>
              <w:rPr>
                <w:rFonts w:hint="eastAsia" w:ascii="仿宋" w:hAnsi="仿宋" w:eastAsia="仿宋" w:cs="仿宋"/>
                <w:color w:val="auto"/>
                <w:sz w:val="28"/>
                <w:szCs w:val="28"/>
                <w:shd w:val="clear" w:color="auto" w:fill="auto"/>
                <w:lang w:bidi="ar"/>
              </w:rPr>
              <w:t>分。</w:t>
            </w:r>
          </w:p>
          <w:p w14:paraId="13BF83E6">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sz w:val="28"/>
                <w:szCs w:val="28"/>
                <w:vertAlign w:val="baseline"/>
              </w:rPr>
            </w:pPr>
            <w:r>
              <w:rPr>
                <w:rFonts w:hint="eastAsia" w:ascii="仿宋" w:hAnsi="仿宋" w:eastAsia="仿宋" w:cs="仿宋"/>
                <w:kern w:val="2"/>
                <w:sz w:val="28"/>
                <w:szCs w:val="28"/>
                <w:lang w:val="en-US" w:eastAsia="zh-CN" w:bidi="ar"/>
              </w:rPr>
              <w:t>【注：供应商应对标注“▲”号的重要技术条款逐条进行响应，并提供证明材料。如采购需求中有明确要求提供证明材料的，则以采购需求要求的为准；如采购需求中无明确要求证明材料的，则证明材料以①投标产品彩页或②厂家技术白皮书（如厂家的技术白皮书为英文版，请同时提供中文版），供应商需对证明材料中的技术参数响应内容所在位置进行圈记或明确标识。凡不符合上述要求的证明材料、证明材料模糊不清晰或未对证明材料中的技术参数响应内容所在位置进行圈记或明确标识，导致评审专家无法认定的，该标注“▲”号的重要技术条款将视为负偏离。】</w:t>
            </w:r>
          </w:p>
        </w:tc>
      </w:tr>
      <w:tr w14:paraId="6231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vMerge w:val="continue"/>
          </w:tcPr>
          <w:p w14:paraId="3EC35642">
            <w:pPr>
              <w:pStyle w:val="15"/>
              <w:keepNext w:val="0"/>
              <w:keepLines w:val="0"/>
              <w:suppressLineNumbers w:val="0"/>
              <w:spacing w:beforeAutospacing="0" w:afterAutospacing="0" w:line="240" w:lineRule="auto"/>
              <w:ind w:left="0" w:right="0" w:firstLine="0"/>
              <w:rPr>
                <w:rFonts w:hint="eastAsia" w:ascii="仿宋" w:hAnsi="仿宋" w:eastAsia="仿宋"/>
                <w:sz w:val="28"/>
                <w:szCs w:val="28"/>
                <w:vertAlign w:val="baseline"/>
                <w:lang w:val="en-US" w:eastAsia="zh-CN"/>
              </w:rPr>
            </w:pPr>
          </w:p>
        </w:tc>
        <w:tc>
          <w:tcPr>
            <w:tcW w:w="1623" w:type="dxa"/>
            <w:vAlign w:val="top"/>
          </w:tcPr>
          <w:p w14:paraId="67D29751">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一般技术条款响应 (</w:t>
            </w:r>
            <w:r>
              <w:rPr>
                <w:rFonts w:hint="eastAsia" w:ascii="仿宋" w:hAnsi="仿宋" w:eastAsia="仿宋" w:cs="仿宋"/>
                <w:sz w:val="28"/>
                <w:szCs w:val="28"/>
                <w:lang w:val="en-US" w:eastAsia="zh-CN"/>
              </w:rPr>
              <w:t>16</w:t>
            </w:r>
            <w:r>
              <w:rPr>
                <w:rFonts w:hint="eastAsia" w:ascii="仿宋" w:hAnsi="仿宋" w:eastAsia="仿宋" w:cs="仿宋"/>
                <w:sz w:val="28"/>
                <w:szCs w:val="28"/>
              </w:rPr>
              <w:t>.0分)</w:t>
            </w:r>
          </w:p>
        </w:tc>
        <w:tc>
          <w:tcPr>
            <w:tcW w:w="6811" w:type="dxa"/>
            <w:vAlign w:val="top"/>
          </w:tcPr>
          <w:p w14:paraId="489E9E28">
            <w:pPr>
              <w:keepNext w:val="0"/>
              <w:keepLines w:val="0"/>
              <w:suppressLineNumbers w:val="0"/>
              <w:spacing w:before="0" w:beforeAutospacing="0" w:after="0" w:afterAutospacing="0" w:line="240" w:lineRule="auto"/>
              <w:ind w:left="0" w:right="0" w:firstLine="0"/>
              <w:jc w:val="left"/>
              <w:rPr>
                <w:rFonts w:hint="default"/>
                <w:sz w:val="28"/>
                <w:szCs w:val="28"/>
              </w:rPr>
            </w:pPr>
            <w:r>
              <w:rPr>
                <w:rFonts w:hint="eastAsia" w:ascii="仿宋" w:hAnsi="仿宋" w:eastAsia="仿宋" w:cs="仿宋"/>
                <w:color w:val="auto"/>
                <w:sz w:val="28"/>
                <w:szCs w:val="28"/>
                <w:shd w:val="clear" w:color="auto" w:fill="auto"/>
              </w:rPr>
              <w:t>根据各</w:t>
            </w:r>
            <w:r>
              <w:rPr>
                <w:rFonts w:hint="eastAsia" w:ascii="仿宋" w:hAnsi="仿宋" w:eastAsia="仿宋" w:cs="仿宋"/>
                <w:color w:val="auto"/>
                <w:sz w:val="28"/>
                <w:szCs w:val="28"/>
                <w:shd w:val="clear" w:color="auto" w:fill="auto"/>
                <w:lang w:val="en-US" w:eastAsia="zh-CN"/>
              </w:rPr>
              <w:t>供应商</w:t>
            </w:r>
            <w:r>
              <w:rPr>
                <w:rFonts w:hint="eastAsia" w:ascii="仿宋" w:hAnsi="仿宋" w:eastAsia="仿宋" w:cs="仿宋"/>
                <w:color w:val="auto"/>
                <w:sz w:val="28"/>
                <w:szCs w:val="28"/>
                <w:shd w:val="clear" w:color="auto" w:fill="auto"/>
              </w:rPr>
              <w:t>对</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文件“具体技术(参数)要求”</w:t>
            </w:r>
            <w:r>
              <w:rPr>
                <w:rFonts w:hint="eastAsia" w:ascii="仿宋" w:hAnsi="仿宋" w:eastAsia="仿宋" w:cs="仿宋"/>
                <w:color w:val="auto"/>
                <w:sz w:val="28"/>
                <w:szCs w:val="28"/>
                <w:shd w:val="clear" w:color="auto" w:fill="auto"/>
                <w:lang w:val="en-US" w:eastAsia="zh-CN" w:bidi="ar"/>
              </w:rPr>
              <w:t>对不带</w:t>
            </w:r>
            <w:r>
              <w:rPr>
                <w:rFonts w:hint="eastAsia" w:ascii="仿宋" w:hAnsi="仿宋" w:eastAsia="仿宋" w:cs="仿宋"/>
                <w:kern w:val="2"/>
                <w:sz w:val="28"/>
                <w:szCs w:val="28"/>
                <w:lang w:val="en-US" w:eastAsia="zh-CN" w:bidi="ar"/>
              </w:rPr>
              <w:t>“★”号及“▲”号</w:t>
            </w:r>
            <w:r>
              <w:rPr>
                <w:rFonts w:hint="eastAsia" w:ascii="仿宋" w:hAnsi="仿宋" w:eastAsia="仿宋" w:cs="仿宋"/>
                <w:color w:val="auto"/>
                <w:sz w:val="28"/>
                <w:szCs w:val="28"/>
                <w:shd w:val="clear" w:color="auto" w:fill="auto"/>
                <w:lang w:val="en-US" w:eastAsia="zh-CN"/>
              </w:rPr>
              <w:t>一般技术</w:t>
            </w:r>
            <w:r>
              <w:rPr>
                <w:rFonts w:hint="eastAsia" w:ascii="仿宋" w:hAnsi="仿宋" w:eastAsia="仿宋" w:cs="仿宋"/>
                <w:color w:val="auto"/>
                <w:sz w:val="28"/>
                <w:szCs w:val="28"/>
                <w:shd w:val="clear" w:color="auto" w:fill="auto"/>
              </w:rPr>
              <w:t>参数（共</w:t>
            </w:r>
            <w:r>
              <w:rPr>
                <w:rFonts w:hint="eastAsia" w:ascii="仿宋" w:hAnsi="仿宋" w:eastAsia="仿宋" w:cs="仿宋"/>
                <w:color w:val="auto"/>
                <w:sz w:val="28"/>
                <w:szCs w:val="28"/>
                <w:shd w:val="clear" w:color="auto" w:fill="auto"/>
                <w:lang w:val="en-US" w:eastAsia="zh-CN"/>
              </w:rPr>
              <w:t>8</w:t>
            </w:r>
            <w:r>
              <w:rPr>
                <w:rFonts w:hint="eastAsia" w:ascii="仿宋" w:hAnsi="仿宋" w:eastAsia="仿宋" w:cs="仿宋"/>
                <w:color w:val="auto"/>
                <w:sz w:val="28"/>
                <w:szCs w:val="28"/>
                <w:shd w:val="clear" w:color="auto" w:fill="auto"/>
              </w:rPr>
              <w:t>条）的响应程度进行评分： 每项满足或优于技术参数得</w:t>
            </w:r>
            <w:r>
              <w:rPr>
                <w:rFonts w:hint="eastAsia" w:ascii="仿宋" w:hAnsi="仿宋" w:eastAsia="仿宋" w:cs="仿宋"/>
                <w:color w:val="auto"/>
                <w:sz w:val="28"/>
                <w:szCs w:val="28"/>
                <w:shd w:val="clear" w:color="auto" w:fill="auto"/>
                <w:lang w:val="en-US" w:eastAsia="zh-CN"/>
              </w:rPr>
              <w:t>2</w:t>
            </w:r>
            <w:r>
              <w:rPr>
                <w:rFonts w:hint="eastAsia" w:ascii="仿宋" w:hAnsi="仿宋" w:eastAsia="仿宋" w:cs="仿宋"/>
                <w:color w:val="auto"/>
                <w:sz w:val="28"/>
                <w:szCs w:val="28"/>
                <w:shd w:val="clear" w:color="auto" w:fill="auto"/>
              </w:rPr>
              <w:t>分，满分</w:t>
            </w:r>
            <w:r>
              <w:rPr>
                <w:rFonts w:hint="eastAsia" w:ascii="仿宋" w:hAnsi="仿宋" w:eastAsia="仿宋" w:cs="仿宋"/>
                <w:color w:val="auto"/>
                <w:sz w:val="28"/>
                <w:szCs w:val="28"/>
                <w:shd w:val="clear" w:color="auto" w:fill="auto"/>
                <w:lang w:val="en-US" w:eastAsia="zh-CN"/>
              </w:rPr>
              <w:t>16</w:t>
            </w:r>
            <w:r>
              <w:rPr>
                <w:rFonts w:hint="eastAsia" w:ascii="仿宋" w:hAnsi="仿宋" w:eastAsia="仿宋" w:cs="仿宋"/>
                <w:color w:val="auto"/>
                <w:sz w:val="28"/>
                <w:szCs w:val="28"/>
                <w:shd w:val="clear" w:color="auto" w:fill="auto"/>
              </w:rPr>
              <w:t>分。</w:t>
            </w:r>
          </w:p>
          <w:p w14:paraId="100D020B">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【注：供应商应对</w:t>
            </w:r>
            <w:r>
              <w:rPr>
                <w:rFonts w:hint="eastAsia" w:ascii="仿宋" w:hAnsi="仿宋" w:eastAsia="仿宋" w:cs="仿宋"/>
                <w:color w:val="auto"/>
                <w:sz w:val="28"/>
                <w:szCs w:val="28"/>
                <w:shd w:val="clear" w:color="auto" w:fill="auto"/>
                <w:lang w:val="en-US" w:eastAsia="zh-CN" w:bidi="ar"/>
              </w:rPr>
              <w:t>不带</w:t>
            </w:r>
            <w:r>
              <w:rPr>
                <w:rFonts w:hint="eastAsia" w:ascii="仿宋" w:hAnsi="仿宋" w:eastAsia="仿宋" w:cs="仿宋"/>
                <w:kern w:val="2"/>
                <w:sz w:val="28"/>
                <w:szCs w:val="28"/>
                <w:lang w:val="en-US" w:eastAsia="zh-CN" w:bidi="ar"/>
              </w:rPr>
              <w:t>“★”号及“▲”号的一般技术参数逐条进行响应，并提供证明材料。如采购需求中有明确要求提供证明材料的，则以采购需求要求的为准；如采购需求中无明确要求证明材料的，则证明材料以①投标产品彩页或②厂家技术白皮书（如厂家的技术白皮书为英文版，请同时提供中文版）。供应商需对证明材料中的技术参数响应内容所在位置进行圈记或明确标识。凡不符合上述要求的证明材料、证明材料模糊不清晰或未对证明材料中的技术参数响应内容所在位置进行圈记或明确标识，导致评审专家无法认定的，该不带“★”号及不带“▲”号的一般技术参数将视为负偏离。】</w:t>
            </w:r>
          </w:p>
        </w:tc>
      </w:tr>
      <w:tr w14:paraId="1DA9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vMerge w:val="continue"/>
          </w:tcPr>
          <w:p w14:paraId="7D1C3931">
            <w:pPr>
              <w:pStyle w:val="15"/>
              <w:keepNext w:val="0"/>
              <w:keepLines w:val="0"/>
              <w:suppressLineNumbers w:val="0"/>
              <w:spacing w:beforeAutospacing="0" w:afterAutospacing="0" w:line="240" w:lineRule="auto"/>
              <w:ind w:left="0" w:right="0" w:firstLine="0"/>
              <w:rPr>
                <w:rFonts w:hint="eastAsia" w:ascii="仿宋" w:hAnsi="仿宋" w:eastAsia="仿宋"/>
                <w:sz w:val="28"/>
                <w:szCs w:val="28"/>
                <w:vertAlign w:val="baseline"/>
                <w:lang w:val="en-US" w:eastAsia="zh-CN"/>
              </w:rPr>
            </w:pPr>
          </w:p>
        </w:tc>
        <w:tc>
          <w:tcPr>
            <w:tcW w:w="1623" w:type="dxa"/>
            <w:vAlign w:val="top"/>
          </w:tcPr>
          <w:p w14:paraId="4E05AEA4">
            <w:pPr>
              <w:keepNext w:val="0"/>
              <w:keepLines w:val="0"/>
              <w:widowControl/>
              <w:suppressLineNumbers w:val="0"/>
              <w:spacing w:before="0" w:beforeAutospacing="0" w:after="0" w:afterAutospacing="0" w:line="240" w:lineRule="auto"/>
              <w:ind w:left="0" w:right="0" w:firstLine="0"/>
              <w:jc w:val="left"/>
              <w:rPr>
                <w:rFonts w:hint="eastAsia" w:ascii="仿宋" w:hAnsi="仿宋" w:eastAsia="仿宋" w:cs="仿宋"/>
                <w:sz w:val="28"/>
                <w:szCs w:val="28"/>
                <w:lang w:bidi="ar"/>
              </w:rPr>
            </w:pPr>
            <w:r>
              <w:rPr>
                <w:rFonts w:hint="eastAsia" w:ascii="仿宋" w:hAnsi="仿宋" w:eastAsia="仿宋" w:cs="仿宋"/>
                <w:color w:val="auto"/>
                <w:kern w:val="2"/>
                <w:sz w:val="28"/>
                <w:szCs w:val="28"/>
                <w:lang w:val="en-US" w:eastAsia="zh-CN" w:bidi="ar"/>
              </w:rPr>
              <w:t>项目实施方案 (</w:t>
            </w:r>
            <w:r>
              <w:rPr>
                <w:rFonts w:hint="eastAsia" w:ascii="仿宋" w:hAnsi="仿宋" w:eastAsia="仿宋" w:cs="仿宋"/>
                <w:kern w:val="2"/>
                <w:sz w:val="28"/>
                <w:szCs w:val="28"/>
                <w:lang w:val="en-US" w:eastAsia="zh-CN" w:bidi="ar"/>
              </w:rPr>
              <w:t>9</w:t>
            </w:r>
            <w:r>
              <w:rPr>
                <w:rFonts w:hint="eastAsia" w:ascii="仿宋" w:hAnsi="仿宋" w:eastAsia="仿宋" w:cs="仿宋"/>
                <w:color w:val="auto"/>
                <w:kern w:val="2"/>
                <w:sz w:val="28"/>
                <w:szCs w:val="28"/>
                <w:lang w:val="en-US" w:eastAsia="zh-CN" w:bidi="ar"/>
              </w:rPr>
              <w:t xml:space="preserve">.0分) </w:t>
            </w:r>
          </w:p>
          <w:p w14:paraId="34A92F78">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sz w:val="28"/>
                <w:szCs w:val="28"/>
              </w:rPr>
            </w:pPr>
          </w:p>
        </w:tc>
        <w:tc>
          <w:tcPr>
            <w:tcW w:w="6811" w:type="dxa"/>
            <w:vAlign w:val="top"/>
          </w:tcPr>
          <w:p w14:paraId="40148167">
            <w:pPr>
              <w:keepNext w:val="0"/>
              <w:keepLines w:val="0"/>
              <w:widowControl/>
              <w:suppressLineNumbers w:val="0"/>
              <w:spacing w:before="0" w:beforeAutospacing="0" w:after="0" w:afterAutospacing="0" w:line="240" w:lineRule="auto"/>
              <w:ind w:left="0" w:right="0" w:firstLine="0"/>
              <w:jc w:val="left"/>
              <w:rPr>
                <w:rFonts w:hint="eastAsia" w:ascii="仿宋" w:hAnsi="仿宋" w:eastAsia="仿宋" w:cs="仿宋"/>
                <w:color w:val="auto"/>
                <w:kern w:val="2"/>
                <w:sz w:val="28"/>
                <w:szCs w:val="28"/>
                <w:lang w:val="en-US" w:eastAsia="zh-CN" w:bidi="ar"/>
              </w:rPr>
            </w:pPr>
            <w:r>
              <w:rPr>
                <w:rFonts w:hint="eastAsia" w:ascii="仿宋" w:hAnsi="仿宋" w:eastAsia="仿宋" w:cs="仿宋"/>
                <w:color w:val="auto"/>
                <w:kern w:val="2"/>
                <w:sz w:val="28"/>
                <w:szCs w:val="28"/>
                <w:lang w:val="en-US" w:eastAsia="zh-CN" w:bidi="ar"/>
              </w:rPr>
              <w:t xml:space="preserve">根据供应商针对本项目所提供的项目实施方案，包括但不限于项目到货计划、项目实施计划、项目运输保障、安装调试（安装调试的计划、步骤、 人员安排等）、测试（测试的计划、流程、标准、人员安排等）等内容进行评审： </w:t>
            </w:r>
          </w:p>
          <w:p w14:paraId="72FA7A35">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kern w:val="2"/>
                <w:sz w:val="28"/>
                <w:szCs w:val="28"/>
                <w:lang w:val="en-US" w:eastAsia="zh-CN" w:bidi="ar"/>
              </w:rPr>
            </w:pPr>
            <w:r>
              <w:rPr>
                <w:rFonts w:hint="eastAsia" w:ascii="仿宋" w:hAnsi="仿宋" w:eastAsia="仿宋" w:cs="仿宋"/>
                <w:color w:val="auto"/>
                <w:kern w:val="2"/>
                <w:sz w:val="28"/>
                <w:szCs w:val="28"/>
                <w:lang w:val="en-US" w:eastAsia="zh-CN" w:bidi="ar"/>
              </w:rPr>
              <w:t xml:space="preserve">（1）供应商针对本项目有明确具体的计划安排、对设备的运输过程有针对性保障手段（不限于设备包装、物流运输方式等）、设备到场时的专人安装调试有明确的安排措施、货物有明确的技术测试流程，完全满足且优于项目要求得9分； </w:t>
            </w:r>
          </w:p>
          <w:p w14:paraId="74BF3505">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kern w:val="2"/>
                <w:sz w:val="28"/>
                <w:szCs w:val="28"/>
                <w:lang w:val="en-US" w:eastAsia="zh-CN" w:bidi="ar"/>
              </w:rPr>
            </w:pPr>
            <w:r>
              <w:rPr>
                <w:rFonts w:hint="eastAsia" w:ascii="仿宋" w:hAnsi="仿宋" w:eastAsia="仿宋" w:cs="仿宋"/>
                <w:color w:val="auto"/>
                <w:kern w:val="2"/>
                <w:sz w:val="28"/>
                <w:szCs w:val="28"/>
                <w:lang w:val="en-US" w:eastAsia="zh-CN" w:bidi="ar"/>
              </w:rPr>
              <w:t xml:space="preserve">（2）供应商针对本项目有明确的计划安排、对设备的运输过程有基本的保障手段（不限于设备包装、物流运输方式等 ）、设备到场时的专人安装调试有基本的安排措施，符合项目要求得4分 ； </w:t>
            </w:r>
          </w:p>
          <w:p w14:paraId="5F4B3539">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eastAsia="zh-CN" w:bidi="ar"/>
              </w:rPr>
            </w:pPr>
            <w:r>
              <w:rPr>
                <w:rFonts w:hint="eastAsia" w:ascii="仿宋" w:hAnsi="仿宋" w:eastAsia="仿宋" w:cs="仿宋"/>
                <w:color w:val="auto"/>
                <w:kern w:val="2"/>
                <w:sz w:val="28"/>
                <w:szCs w:val="28"/>
                <w:lang w:val="en-US" w:eastAsia="zh-CN" w:bidi="ar"/>
              </w:rPr>
              <w:t>（3）供应商针对本项目有简单的计划安排、对设备的运输过程有简单的保障手段（不限于设备包装、物流运输方式等）、设备到场时的专人安装调试有简单的安排措施，部分符合项目要求得1分；</w:t>
            </w:r>
          </w:p>
          <w:p w14:paraId="31D68184">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8"/>
                <w:szCs w:val="28"/>
                <w:lang w:val="en-US" w:eastAsia="zh-CN" w:bidi="ar"/>
              </w:rPr>
            </w:pPr>
            <w:r>
              <w:rPr>
                <w:rFonts w:hint="eastAsia" w:ascii="仿宋" w:hAnsi="仿宋" w:eastAsia="仿宋" w:cs="仿宋"/>
                <w:color w:val="auto"/>
                <w:kern w:val="2"/>
                <w:sz w:val="28"/>
                <w:szCs w:val="28"/>
                <w:lang w:val="en-US" w:eastAsia="zh-CN" w:bidi="ar"/>
              </w:rPr>
              <w:t>（4）其他情况或不提供的得0分。</w:t>
            </w:r>
          </w:p>
        </w:tc>
      </w:tr>
      <w:tr w14:paraId="1709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vMerge w:val="continue"/>
          </w:tcPr>
          <w:p w14:paraId="387C0CC3">
            <w:pPr>
              <w:pStyle w:val="15"/>
              <w:keepNext w:val="0"/>
              <w:keepLines w:val="0"/>
              <w:suppressLineNumbers w:val="0"/>
              <w:spacing w:beforeAutospacing="0" w:afterAutospacing="0" w:line="240" w:lineRule="auto"/>
              <w:ind w:left="0" w:right="0" w:firstLine="0"/>
              <w:rPr>
                <w:rFonts w:hint="eastAsia" w:ascii="仿宋" w:hAnsi="仿宋" w:eastAsia="仿宋"/>
                <w:sz w:val="28"/>
                <w:szCs w:val="28"/>
                <w:vertAlign w:val="baseline"/>
                <w:lang w:val="en-US" w:eastAsia="zh-CN"/>
              </w:rPr>
            </w:pPr>
          </w:p>
        </w:tc>
        <w:tc>
          <w:tcPr>
            <w:tcW w:w="1623" w:type="dxa"/>
            <w:vAlign w:val="top"/>
          </w:tcPr>
          <w:p w14:paraId="6B409BA0">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售后服务方案（9.0分）</w:t>
            </w:r>
          </w:p>
        </w:tc>
        <w:tc>
          <w:tcPr>
            <w:tcW w:w="6811" w:type="dxa"/>
            <w:vAlign w:val="top"/>
          </w:tcPr>
          <w:p w14:paraId="3AAED51A">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bidi="ar"/>
              </w:rPr>
            </w:pPr>
            <w:r>
              <w:rPr>
                <w:rFonts w:hint="eastAsia" w:ascii="仿宋" w:hAnsi="仿宋" w:eastAsia="仿宋" w:cs="仿宋"/>
                <w:color w:val="auto"/>
                <w:sz w:val="28"/>
                <w:szCs w:val="28"/>
                <w:shd w:val="clear"/>
                <w:lang w:bidi="ar"/>
              </w:rPr>
              <w:t>根据</w:t>
            </w:r>
            <w:r>
              <w:rPr>
                <w:rFonts w:hint="eastAsia" w:ascii="仿宋" w:hAnsi="仿宋" w:eastAsia="仿宋" w:cs="仿宋"/>
                <w:color w:val="auto"/>
                <w:sz w:val="28"/>
                <w:szCs w:val="28"/>
                <w:shd w:val="clear"/>
                <w:lang w:val="en-US" w:eastAsia="zh-CN" w:bidi="ar"/>
              </w:rPr>
              <w:t>供应商</w:t>
            </w:r>
            <w:r>
              <w:rPr>
                <w:rFonts w:hint="eastAsia" w:ascii="仿宋" w:hAnsi="仿宋" w:eastAsia="仿宋" w:cs="仿宋"/>
                <w:color w:val="auto"/>
                <w:sz w:val="28"/>
                <w:szCs w:val="28"/>
                <w:shd w:val="clear"/>
                <w:lang w:bidi="ar"/>
              </w:rPr>
              <w:t>针对本项目所提供的售后服务方案进行评审（包括但不限于：①售后服务范围；②售后保障措施；③维护保养及应急维修时间安排；④零配件的供应等）</w:t>
            </w:r>
          </w:p>
          <w:p w14:paraId="7C957B31">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bidi="ar"/>
              </w:rPr>
            </w:pP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val="en-US" w:eastAsia="zh-CN" w:bidi="ar"/>
              </w:rPr>
              <w:t>1</w:t>
            </w: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val="en-US" w:eastAsia="zh-CN" w:bidi="ar"/>
              </w:rPr>
              <w:t>供应商</w:t>
            </w:r>
            <w:r>
              <w:rPr>
                <w:rFonts w:hint="eastAsia" w:ascii="仿宋" w:hAnsi="仿宋" w:eastAsia="仿宋" w:cs="仿宋"/>
                <w:color w:val="auto"/>
                <w:sz w:val="28"/>
                <w:szCs w:val="28"/>
                <w:shd w:val="clear"/>
                <w:lang w:bidi="ar"/>
              </w:rPr>
              <w:t>提供的售后服务方案，涵盖上述所有内容且售后服务方案详细完整，清晰全面，有完整可行操作的维修处理方法维修保养处理方法，对日常维修和应急情况响应及时，完全满足或优于采购需求的，得</w:t>
            </w:r>
            <w:r>
              <w:rPr>
                <w:rFonts w:hint="eastAsia" w:ascii="仿宋" w:hAnsi="仿宋" w:eastAsia="仿宋" w:cs="仿宋"/>
                <w:color w:val="auto"/>
                <w:sz w:val="28"/>
                <w:szCs w:val="28"/>
                <w:shd w:val="clear"/>
                <w:lang w:val="en-US" w:eastAsia="zh-CN" w:bidi="ar"/>
              </w:rPr>
              <w:t>9</w:t>
            </w:r>
            <w:r>
              <w:rPr>
                <w:rFonts w:hint="eastAsia" w:ascii="仿宋" w:hAnsi="仿宋" w:eastAsia="仿宋" w:cs="仿宋"/>
                <w:color w:val="auto"/>
                <w:sz w:val="28"/>
                <w:szCs w:val="28"/>
                <w:shd w:val="clear"/>
                <w:lang w:bidi="ar"/>
              </w:rPr>
              <w:t xml:space="preserve">分； </w:t>
            </w:r>
          </w:p>
          <w:p w14:paraId="27806B99">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bidi="ar"/>
              </w:rPr>
            </w:pP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val="en-US" w:eastAsia="zh-CN" w:bidi="ar"/>
              </w:rPr>
              <w:t>2</w:t>
            </w: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val="en-US" w:eastAsia="zh-CN" w:bidi="ar"/>
              </w:rPr>
              <w:t>供应商</w:t>
            </w:r>
            <w:r>
              <w:rPr>
                <w:rFonts w:hint="eastAsia" w:ascii="仿宋" w:hAnsi="仿宋" w:eastAsia="仿宋" w:cs="仿宋"/>
                <w:color w:val="auto"/>
                <w:sz w:val="28"/>
                <w:szCs w:val="28"/>
                <w:shd w:val="clear"/>
                <w:lang w:bidi="ar"/>
              </w:rPr>
              <w:t>提供的售后服务方案，涵盖上述所有内容，售后服务方案完整但不具体，清晰但不全面，有基本可行维修保养处理方法，对日常维修和应急情况响应较及时，一般满足采购需求的，得</w:t>
            </w:r>
            <w:r>
              <w:rPr>
                <w:rFonts w:hint="eastAsia" w:ascii="仿宋" w:hAnsi="仿宋" w:eastAsia="仿宋" w:cs="仿宋"/>
                <w:color w:val="auto"/>
                <w:sz w:val="28"/>
                <w:szCs w:val="28"/>
                <w:shd w:val="clear"/>
                <w:lang w:val="en-US" w:eastAsia="zh-CN" w:bidi="ar"/>
              </w:rPr>
              <w:t>4</w:t>
            </w:r>
            <w:r>
              <w:rPr>
                <w:rFonts w:hint="eastAsia" w:ascii="仿宋" w:hAnsi="仿宋" w:eastAsia="仿宋" w:cs="仿宋"/>
                <w:color w:val="auto"/>
                <w:sz w:val="28"/>
                <w:szCs w:val="28"/>
                <w:shd w:val="clear"/>
                <w:lang w:bidi="ar"/>
              </w:rPr>
              <w:t>分；</w:t>
            </w:r>
          </w:p>
          <w:p w14:paraId="5500DC51">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bidi="ar"/>
              </w:rPr>
            </w:pPr>
            <w:r>
              <w:rPr>
                <w:rFonts w:hint="eastAsia" w:ascii="仿宋" w:hAnsi="仿宋" w:eastAsia="仿宋" w:cs="仿宋"/>
                <w:color w:val="auto"/>
                <w:sz w:val="28"/>
                <w:szCs w:val="28"/>
                <w:shd w:val="clear"/>
                <w:lang w:bidi="ar"/>
              </w:rPr>
              <w:t xml:space="preserve"> </w:t>
            </w: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val="en-US" w:eastAsia="zh-CN" w:bidi="ar"/>
              </w:rPr>
              <w:t>3</w:t>
            </w: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val="en-US" w:eastAsia="zh-CN" w:bidi="ar"/>
              </w:rPr>
              <w:t>供应商</w:t>
            </w:r>
            <w:r>
              <w:rPr>
                <w:rFonts w:hint="eastAsia" w:ascii="仿宋" w:hAnsi="仿宋" w:eastAsia="仿宋" w:cs="仿宋"/>
                <w:color w:val="auto"/>
                <w:sz w:val="28"/>
                <w:szCs w:val="28"/>
                <w:shd w:val="clear"/>
                <w:lang w:bidi="ar"/>
              </w:rPr>
              <w:t>提供的售后服务方案，涵盖上述所有内容且售后服务方案不完整，不清晰、有简单的操作的维修保养处理方法，对日常维修和应急情况响应不及时，不能满足采购需求的，得</w:t>
            </w:r>
            <w:r>
              <w:rPr>
                <w:rFonts w:hint="eastAsia" w:ascii="仿宋" w:hAnsi="仿宋" w:eastAsia="仿宋" w:cs="仿宋"/>
                <w:color w:val="auto"/>
                <w:sz w:val="28"/>
                <w:szCs w:val="28"/>
                <w:shd w:val="clear"/>
                <w:lang w:val="en-US" w:eastAsia="zh-CN" w:bidi="ar"/>
              </w:rPr>
              <w:t>1</w:t>
            </w:r>
            <w:r>
              <w:rPr>
                <w:rFonts w:hint="eastAsia" w:ascii="仿宋" w:hAnsi="仿宋" w:eastAsia="仿宋" w:cs="仿宋"/>
                <w:color w:val="auto"/>
                <w:sz w:val="28"/>
                <w:szCs w:val="28"/>
                <w:shd w:val="clear"/>
                <w:lang w:bidi="ar"/>
              </w:rPr>
              <w:t>分；</w:t>
            </w:r>
          </w:p>
          <w:p w14:paraId="2F07705B">
            <w:pPr>
              <w:keepNext w:val="0"/>
              <w:keepLines w:val="0"/>
              <w:widowControl/>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8"/>
                <w:szCs w:val="28"/>
                <w:lang w:val="en-US" w:eastAsia="zh-CN" w:bidi="ar"/>
              </w:rPr>
            </w:pPr>
            <w:r>
              <w:rPr>
                <w:rFonts w:hint="eastAsia" w:ascii="仿宋" w:hAnsi="仿宋" w:eastAsia="仿宋" w:cs="仿宋"/>
                <w:color w:val="auto"/>
                <w:sz w:val="28"/>
                <w:szCs w:val="28"/>
                <w:shd w:val="clear"/>
                <w:lang w:bidi="ar"/>
              </w:rPr>
              <w:t xml:space="preserve"> </w:t>
            </w: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val="en-US" w:eastAsia="zh-CN" w:bidi="ar"/>
              </w:rPr>
              <w:t>4</w:t>
            </w:r>
            <w:r>
              <w:rPr>
                <w:rFonts w:hint="eastAsia" w:ascii="仿宋" w:hAnsi="仿宋" w:eastAsia="仿宋" w:cs="仿宋"/>
                <w:color w:val="auto"/>
                <w:sz w:val="28"/>
                <w:szCs w:val="28"/>
                <w:shd w:val="clear"/>
                <w:lang w:eastAsia="zh-CN" w:bidi="ar"/>
              </w:rPr>
              <w:t>）</w:t>
            </w:r>
            <w:r>
              <w:rPr>
                <w:rFonts w:hint="eastAsia" w:ascii="仿宋" w:hAnsi="仿宋" w:eastAsia="仿宋" w:cs="仿宋"/>
                <w:color w:val="auto"/>
                <w:sz w:val="28"/>
                <w:szCs w:val="28"/>
                <w:shd w:val="clear"/>
                <w:lang w:bidi="ar"/>
              </w:rPr>
              <w:t>没有涵盖上述所有内容或没有提供方案不得分。</w:t>
            </w:r>
          </w:p>
        </w:tc>
      </w:tr>
      <w:tr w14:paraId="2464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vMerge w:val="continue"/>
          </w:tcPr>
          <w:p w14:paraId="50A254BC">
            <w:pPr>
              <w:pStyle w:val="15"/>
              <w:keepNext w:val="0"/>
              <w:keepLines w:val="0"/>
              <w:suppressLineNumbers w:val="0"/>
              <w:spacing w:beforeAutospacing="0" w:afterAutospacing="0" w:line="240" w:lineRule="auto"/>
              <w:ind w:left="0" w:right="0" w:firstLine="0"/>
              <w:rPr>
                <w:rFonts w:hint="eastAsia" w:ascii="仿宋" w:hAnsi="仿宋" w:eastAsia="仿宋"/>
                <w:sz w:val="28"/>
                <w:szCs w:val="28"/>
                <w:vertAlign w:val="baseline"/>
                <w:lang w:val="en-US" w:eastAsia="zh-CN"/>
              </w:rPr>
            </w:pPr>
          </w:p>
        </w:tc>
        <w:tc>
          <w:tcPr>
            <w:tcW w:w="1623" w:type="dxa"/>
            <w:vAlign w:val="top"/>
          </w:tcPr>
          <w:p w14:paraId="6C89924A">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培训方案（9分）</w:t>
            </w:r>
          </w:p>
        </w:tc>
        <w:tc>
          <w:tcPr>
            <w:tcW w:w="6811" w:type="dxa"/>
            <w:vAlign w:val="top"/>
          </w:tcPr>
          <w:p w14:paraId="3E5C3B7D">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bidi="ar"/>
              </w:rPr>
            </w:pPr>
            <w:r>
              <w:rPr>
                <w:rFonts w:hint="eastAsia" w:ascii="仿宋" w:hAnsi="仿宋" w:eastAsia="仿宋" w:cs="仿宋"/>
                <w:color w:val="auto"/>
                <w:sz w:val="28"/>
                <w:szCs w:val="28"/>
                <w:shd w:val="clear"/>
                <w:lang w:val="en-US" w:eastAsia="zh-CN" w:bidi="ar"/>
              </w:rPr>
              <w:t>供应商</w:t>
            </w:r>
            <w:r>
              <w:rPr>
                <w:rFonts w:hint="eastAsia" w:ascii="仿宋" w:hAnsi="仿宋" w:eastAsia="仿宋" w:cs="仿宋"/>
                <w:color w:val="auto"/>
                <w:sz w:val="28"/>
                <w:szCs w:val="28"/>
                <w:shd w:val="clear"/>
                <w:lang w:bidi="ar"/>
              </w:rPr>
              <w:t xml:space="preserve">根据产品特点及保养事项制定培训方案（包括不限于培训内容、培训方式、培训师资、时间安排等），对采购人所使用设备人员提供设备操作及操作过程中注意事项等内容进行培训： </w:t>
            </w:r>
          </w:p>
          <w:p w14:paraId="6FBFE008">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bidi="ar"/>
              </w:rPr>
            </w:pPr>
            <w:r>
              <w:rPr>
                <w:rFonts w:hint="eastAsia" w:ascii="仿宋" w:hAnsi="仿宋" w:eastAsia="仿宋" w:cs="仿宋"/>
                <w:color w:val="auto"/>
                <w:sz w:val="28"/>
                <w:szCs w:val="28"/>
                <w:shd w:val="clear"/>
                <w:lang w:val="en-US" w:eastAsia="zh-CN" w:bidi="ar"/>
              </w:rPr>
              <w:t>（1）供应商</w:t>
            </w:r>
            <w:r>
              <w:rPr>
                <w:rFonts w:hint="eastAsia" w:ascii="仿宋" w:hAnsi="仿宋" w:eastAsia="仿宋" w:cs="仿宋"/>
                <w:color w:val="auto"/>
                <w:sz w:val="28"/>
                <w:szCs w:val="28"/>
                <w:shd w:val="clear"/>
                <w:lang w:bidi="ar"/>
              </w:rPr>
              <w:t>针对本项目为采购人提供详细的培训方案，有专人指导的设备操作培训课程安排，有明确的课程内容及培训内容安排，对设备的操作过程中注意事项有详细指明，对特殊情况（如设备反复重启，操作失灵，错误操作等情况）有图文详解及完整应对培训的，得</w:t>
            </w:r>
            <w:r>
              <w:rPr>
                <w:rFonts w:hint="eastAsia" w:ascii="仿宋" w:hAnsi="仿宋" w:eastAsia="仿宋" w:cs="仿宋"/>
                <w:color w:val="auto"/>
                <w:sz w:val="28"/>
                <w:szCs w:val="28"/>
                <w:shd w:val="clear"/>
                <w:lang w:val="en-US" w:eastAsia="zh-CN" w:bidi="ar"/>
              </w:rPr>
              <w:t>9</w:t>
            </w:r>
            <w:r>
              <w:rPr>
                <w:rFonts w:hint="eastAsia" w:ascii="仿宋" w:hAnsi="仿宋" w:eastAsia="仿宋" w:cs="仿宋"/>
                <w:color w:val="auto"/>
                <w:sz w:val="28"/>
                <w:szCs w:val="28"/>
                <w:shd w:val="clear"/>
                <w:lang w:bidi="ar"/>
              </w:rPr>
              <w:t>分； （2）</w:t>
            </w:r>
            <w:r>
              <w:rPr>
                <w:rFonts w:hint="eastAsia" w:ascii="仿宋" w:hAnsi="仿宋" w:eastAsia="仿宋" w:cs="仿宋"/>
                <w:color w:val="auto"/>
                <w:sz w:val="28"/>
                <w:szCs w:val="28"/>
                <w:shd w:val="clear"/>
                <w:lang w:val="en-US" w:eastAsia="zh-CN" w:bidi="ar"/>
              </w:rPr>
              <w:t>供应商</w:t>
            </w:r>
            <w:r>
              <w:rPr>
                <w:rFonts w:hint="eastAsia" w:ascii="仿宋" w:hAnsi="仿宋" w:eastAsia="仿宋" w:cs="仿宋"/>
                <w:color w:val="auto"/>
                <w:sz w:val="28"/>
                <w:szCs w:val="28"/>
                <w:shd w:val="clear"/>
                <w:lang w:bidi="ar"/>
              </w:rPr>
              <w:t>针对本项目为采购人提供基本的培训方案，有专人指导的设备操作培训课程安排，有简单的课程内容及培训内容安排，对设备的操作过程中注意事项有基本操作指明，对特殊情况（如设备反复重启、操作失灵、错误操作等情况）有图文详解及简单应对培训的，得</w:t>
            </w:r>
            <w:r>
              <w:rPr>
                <w:rFonts w:hint="eastAsia" w:ascii="仿宋" w:hAnsi="仿宋" w:eastAsia="仿宋" w:cs="仿宋"/>
                <w:color w:val="auto"/>
                <w:sz w:val="28"/>
                <w:szCs w:val="28"/>
                <w:shd w:val="clear"/>
                <w:lang w:val="en-US" w:eastAsia="zh-CN" w:bidi="ar"/>
              </w:rPr>
              <w:t>4</w:t>
            </w:r>
            <w:r>
              <w:rPr>
                <w:rFonts w:hint="eastAsia" w:ascii="仿宋" w:hAnsi="仿宋" w:eastAsia="仿宋" w:cs="仿宋"/>
                <w:color w:val="auto"/>
                <w:sz w:val="28"/>
                <w:szCs w:val="28"/>
                <w:shd w:val="clear"/>
                <w:lang w:bidi="ar"/>
              </w:rPr>
              <w:t xml:space="preserve">分； </w:t>
            </w:r>
          </w:p>
          <w:p w14:paraId="46459739">
            <w:pPr>
              <w:keepNext w:val="0"/>
              <w:keepLines w:val="0"/>
              <w:widowControl/>
              <w:suppressLineNumbers w:val="0"/>
              <w:snapToGrid/>
              <w:spacing w:before="0" w:beforeAutospacing="0" w:after="0" w:afterAutospacing="0" w:line="240" w:lineRule="auto"/>
              <w:ind w:left="0" w:right="0" w:firstLine="0"/>
              <w:jc w:val="left"/>
              <w:rPr>
                <w:rFonts w:hint="eastAsia" w:ascii="仿宋" w:hAnsi="仿宋" w:eastAsia="仿宋" w:cs="仿宋"/>
                <w:color w:val="auto"/>
                <w:sz w:val="28"/>
                <w:szCs w:val="28"/>
                <w:shd w:val="clear"/>
                <w:lang w:bidi="ar"/>
              </w:rPr>
            </w:pPr>
            <w:r>
              <w:rPr>
                <w:rFonts w:hint="eastAsia" w:ascii="仿宋" w:hAnsi="仿宋" w:eastAsia="仿宋" w:cs="仿宋"/>
                <w:color w:val="auto"/>
                <w:sz w:val="28"/>
                <w:szCs w:val="28"/>
                <w:shd w:val="clear"/>
                <w:lang w:bidi="ar"/>
              </w:rPr>
              <w:t>（3）</w:t>
            </w:r>
            <w:r>
              <w:rPr>
                <w:rFonts w:hint="eastAsia" w:ascii="仿宋" w:hAnsi="仿宋" w:eastAsia="仿宋" w:cs="仿宋"/>
                <w:color w:val="auto"/>
                <w:sz w:val="28"/>
                <w:szCs w:val="28"/>
                <w:shd w:val="clear"/>
                <w:lang w:val="en-US" w:eastAsia="zh-CN" w:bidi="ar"/>
              </w:rPr>
              <w:t>供应商</w:t>
            </w:r>
            <w:r>
              <w:rPr>
                <w:rFonts w:hint="eastAsia" w:ascii="仿宋" w:hAnsi="仿宋" w:eastAsia="仿宋" w:cs="仿宋"/>
                <w:color w:val="auto"/>
                <w:sz w:val="28"/>
                <w:szCs w:val="28"/>
                <w:shd w:val="clear"/>
                <w:lang w:bidi="ar"/>
              </w:rPr>
              <w:t>针对本项目为采购人提供简单的培训方案，有专人指导但设备操作培训课程安排不明确，课程内容及培训内容安排不明确，对设备的操作过程中注意事项有基本的操作指明，对特殊情况（如设备反复重启、操作失灵、错误操作等情况）有图文详解但没有应对培训的，得</w:t>
            </w:r>
            <w:r>
              <w:rPr>
                <w:rFonts w:hint="eastAsia" w:ascii="仿宋" w:hAnsi="仿宋" w:eastAsia="仿宋" w:cs="仿宋"/>
                <w:color w:val="auto"/>
                <w:sz w:val="28"/>
                <w:szCs w:val="28"/>
                <w:shd w:val="clear"/>
                <w:lang w:eastAsia="zh-CN" w:bidi="ar"/>
              </w:rPr>
              <w:t>1</w:t>
            </w:r>
            <w:r>
              <w:rPr>
                <w:rFonts w:hint="eastAsia" w:ascii="仿宋" w:hAnsi="仿宋" w:eastAsia="仿宋" w:cs="仿宋"/>
                <w:color w:val="auto"/>
                <w:sz w:val="28"/>
                <w:szCs w:val="28"/>
                <w:shd w:val="clear"/>
                <w:lang w:bidi="ar"/>
              </w:rPr>
              <w:t xml:space="preserve">分； </w:t>
            </w:r>
          </w:p>
          <w:p w14:paraId="004E5FDD">
            <w:pPr>
              <w:keepNext w:val="0"/>
              <w:keepLines w:val="0"/>
              <w:widowControl/>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8"/>
                <w:szCs w:val="28"/>
                <w:lang w:val="en-US" w:eastAsia="zh-CN" w:bidi="ar"/>
              </w:rPr>
            </w:pPr>
            <w:r>
              <w:rPr>
                <w:rFonts w:hint="eastAsia" w:ascii="仿宋" w:hAnsi="仿宋" w:eastAsia="仿宋" w:cs="仿宋"/>
                <w:color w:val="auto"/>
                <w:sz w:val="28"/>
                <w:szCs w:val="28"/>
                <w:shd w:val="clear"/>
                <w:lang w:bidi="ar"/>
              </w:rPr>
              <w:t>（4）没有涵盖上述所有内容或没有提供方案不得分。</w:t>
            </w:r>
          </w:p>
        </w:tc>
      </w:tr>
      <w:tr w14:paraId="59B0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vMerge w:val="continue"/>
          </w:tcPr>
          <w:p w14:paraId="0B0F097C">
            <w:pPr>
              <w:pStyle w:val="15"/>
              <w:keepNext w:val="0"/>
              <w:keepLines w:val="0"/>
              <w:suppressLineNumbers w:val="0"/>
              <w:spacing w:beforeAutospacing="0" w:afterAutospacing="0" w:line="240" w:lineRule="auto"/>
              <w:ind w:left="0" w:right="0" w:firstLine="0"/>
              <w:rPr>
                <w:rFonts w:hint="eastAsia" w:ascii="仿宋" w:hAnsi="仿宋" w:eastAsia="仿宋"/>
                <w:sz w:val="28"/>
                <w:szCs w:val="28"/>
                <w:vertAlign w:val="baseline"/>
                <w:lang w:val="en-US" w:eastAsia="zh-CN"/>
              </w:rPr>
            </w:pPr>
          </w:p>
        </w:tc>
        <w:tc>
          <w:tcPr>
            <w:tcW w:w="1623" w:type="dxa"/>
            <w:vAlign w:val="top"/>
          </w:tcPr>
          <w:p w14:paraId="57E83E5A">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所投产品市场使用情况 (4.0分)</w:t>
            </w:r>
          </w:p>
        </w:tc>
        <w:tc>
          <w:tcPr>
            <w:tcW w:w="6811" w:type="dxa"/>
            <w:vAlign w:val="top"/>
          </w:tcPr>
          <w:p w14:paraId="6ABD3B0A">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根据供应商所投产品自2023年1月1日以来在国内的使用客户数量进行评审，每具有1家使用客户得2分，本项最高得4分。 </w:t>
            </w:r>
          </w:p>
          <w:p w14:paraId="299DA9BB">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SA"/>
              </w:rPr>
              <w:t>注：1、供应商必须提供销售合同关键页或销售发票或中标通知书或中标（成交）结果公告，要求能够体现产品品牌型号，且与供应商本次所 投产品同品牌同型号，否则不得分。 2、同一单位的证明材料只算1家，制造商与代理商之间的销售材料不得分。 3、业绩时间以证明材料签订、发出、开具日期为准。4、同一合同在商务部分“供应商供货业绩”已计算得分的，此处不再重复计算得分。5、不符合上述要求不得分。</w:t>
            </w:r>
          </w:p>
        </w:tc>
      </w:tr>
      <w:tr w14:paraId="6929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1604" w:type="dxa"/>
            <w:vMerge w:val="restart"/>
          </w:tcPr>
          <w:p w14:paraId="4AE807CF">
            <w:pPr>
              <w:pStyle w:val="15"/>
              <w:keepNext w:val="0"/>
              <w:keepLines w:val="0"/>
              <w:suppressLineNumbers w:val="0"/>
              <w:spacing w:beforeAutospacing="0" w:afterAutospacing="0" w:line="240" w:lineRule="auto"/>
              <w:ind w:left="0" w:right="0" w:firstLine="0"/>
              <w:rPr>
                <w:rFonts w:hint="default"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商务部分</w:t>
            </w:r>
          </w:p>
        </w:tc>
        <w:tc>
          <w:tcPr>
            <w:tcW w:w="1623" w:type="dxa"/>
          </w:tcPr>
          <w:p w14:paraId="19793BB2">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8"/>
                <w:szCs w:val="28"/>
                <w:shd w:val="clear" w:color="auto" w:fill="auto"/>
                <w:lang w:val="en-US" w:eastAsia="zh-CN"/>
              </w:rPr>
            </w:pPr>
            <w:r>
              <w:rPr>
                <w:rFonts w:hint="eastAsia" w:ascii="仿宋" w:hAnsi="仿宋" w:eastAsia="仿宋" w:cs="仿宋"/>
                <w:sz w:val="28"/>
                <w:szCs w:val="28"/>
                <w:lang w:val="en-US" w:eastAsia="zh-CN"/>
              </w:rPr>
              <w:t>供应商</w:t>
            </w:r>
            <w:r>
              <w:rPr>
                <w:rFonts w:hint="eastAsia" w:ascii="仿宋" w:hAnsi="仿宋" w:eastAsia="仿宋" w:cs="仿宋"/>
                <w:sz w:val="28"/>
                <w:szCs w:val="28"/>
              </w:rPr>
              <w:t>供货业绩 (</w:t>
            </w:r>
            <w:r>
              <w:rPr>
                <w:rFonts w:hint="eastAsia" w:ascii="仿宋" w:hAnsi="仿宋" w:eastAsia="仿宋" w:cs="仿宋"/>
                <w:sz w:val="28"/>
                <w:szCs w:val="28"/>
                <w:lang w:val="en-US" w:eastAsia="zh-CN"/>
              </w:rPr>
              <w:t>6.0</w:t>
            </w:r>
            <w:r>
              <w:rPr>
                <w:rFonts w:hint="eastAsia" w:ascii="仿宋" w:hAnsi="仿宋" w:eastAsia="仿宋" w:cs="仿宋"/>
                <w:sz w:val="28"/>
                <w:szCs w:val="28"/>
              </w:rPr>
              <w:t>分)</w:t>
            </w:r>
          </w:p>
        </w:tc>
        <w:tc>
          <w:tcPr>
            <w:tcW w:w="6811" w:type="dxa"/>
          </w:tcPr>
          <w:p w14:paraId="1C7C4387">
            <w:pPr>
              <w:keepNext w:val="0"/>
              <w:keepLines w:val="0"/>
              <w:suppressLineNumbers w:val="0"/>
              <w:snapToGrid w:val="0"/>
              <w:spacing w:before="0" w:beforeAutospacing="0" w:after="0" w:afterAutospacing="0" w:line="360" w:lineRule="auto"/>
              <w:ind w:left="0" w:right="0" w:firstLine="0"/>
              <w:rPr>
                <w:rFonts w:hint="eastAsia" w:ascii="仿宋" w:hAnsi="仿宋" w:eastAsia="仿宋" w:cs="仿宋"/>
                <w:color w:val="auto"/>
                <w:sz w:val="28"/>
                <w:szCs w:val="28"/>
                <w:shd w:val="clear" w:color="auto" w:fill="auto"/>
                <w:lang w:val="en-US" w:eastAsia="zh-CN"/>
              </w:rPr>
            </w:pPr>
            <w:r>
              <w:rPr>
                <w:rFonts w:hint="eastAsia" w:ascii="仿宋" w:hAnsi="仿宋" w:eastAsia="仿宋" w:cs="仿宋"/>
                <w:color w:val="auto"/>
                <w:sz w:val="28"/>
                <w:szCs w:val="28"/>
                <w:shd w:val="clear" w:color="auto" w:fill="auto"/>
                <w:lang w:val="en-US" w:eastAsia="zh-CN"/>
              </w:rPr>
              <w:t>自2023年1月1日至递交响应文件截止时间止（以合同签订时间为准），供应商承接过同类设备（同类指胸腹腔内窥镜）的供货业绩，每提供1个业绩，得2分，最高得6分 。</w:t>
            </w:r>
          </w:p>
          <w:p w14:paraId="59881053">
            <w:pPr>
              <w:keepNext w:val="0"/>
              <w:keepLines w:val="0"/>
              <w:suppressLineNumbers w:val="0"/>
              <w:snapToGrid w:val="0"/>
              <w:spacing w:before="0" w:beforeAutospacing="0" w:after="0" w:afterAutospacing="0" w:line="360" w:lineRule="auto"/>
              <w:ind w:left="0" w:leftChars="0" w:right="0" w:rightChars="0" w:firstLine="0" w:firstLineChars="0"/>
              <w:rPr>
                <w:rFonts w:hint="eastAsia" w:ascii="仿宋" w:hAnsi="仿宋" w:eastAsia="仿宋"/>
                <w:sz w:val="28"/>
                <w:szCs w:val="28"/>
                <w:vertAlign w:val="baseline"/>
              </w:rPr>
            </w:pPr>
            <w:r>
              <w:rPr>
                <w:rFonts w:hint="eastAsia" w:ascii="仿宋" w:hAnsi="仿宋" w:eastAsia="仿宋" w:cs="仿宋"/>
                <w:color w:val="auto"/>
                <w:sz w:val="28"/>
                <w:szCs w:val="28"/>
                <w:shd w:val="clear" w:color="auto" w:fill="auto"/>
                <w:lang w:val="en-US" w:eastAsia="zh-CN"/>
              </w:rPr>
              <w:t>【注：1.以签订合同的时间为准（分支机构投标的，总公司（总所）业绩可纳入评审）；2.须提供业绩合同关键页（须体现项目名称、合同采购内容、签订时间、双方落款盖章）有效证明材料复印件并加盖公章。 3.同一客户不累计得分。】</w:t>
            </w:r>
          </w:p>
        </w:tc>
      </w:tr>
      <w:tr w14:paraId="347B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604" w:type="dxa"/>
            <w:vMerge w:val="continue"/>
          </w:tcPr>
          <w:p w14:paraId="4C7087D8">
            <w:pPr>
              <w:pStyle w:val="15"/>
              <w:keepNext w:val="0"/>
              <w:keepLines w:val="0"/>
              <w:suppressLineNumbers w:val="0"/>
              <w:spacing w:beforeAutospacing="0" w:afterAutospacing="0" w:line="240" w:lineRule="auto"/>
              <w:ind w:left="0" w:right="0" w:firstLine="0"/>
              <w:rPr>
                <w:rFonts w:hint="eastAsia" w:ascii="仿宋" w:hAnsi="仿宋" w:eastAsia="仿宋"/>
                <w:sz w:val="28"/>
                <w:szCs w:val="28"/>
                <w:vertAlign w:val="baseline"/>
                <w:lang w:val="en-US" w:eastAsia="zh-CN"/>
              </w:rPr>
            </w:pPr>
          </w:p>
        </w:tc>
        <w:tc>
          <w:tcPr>
            <w:tcW w:w="1623" w:type="dxa"/>
            <w:vAlign w:val="top"/>
          </w:tcPr>
          <w:p w14:paraId="58F97E0D">
            <w:pPr>
              <w:pStyle w:val="30"/>
              <w:keepNext w:val="0"/>
              <w:keepLines w:val="0"/>
              <w:widowControl/>
              <w:suppressLineNumbers w:val="0"/>
              <w:spacing w:before="0" w:beforeAutospacing="0" w:after="0" w:afterAutospacing="0"/>
              <w:ind w:left="0" w:leftChars="0" w:right="0" w:rightChars="0"/>
              <w:jc w:val="left"/>
              <w:rPr>
                <w:rFonts w:hint="eastAsia" w:ascii="仿宋" w:hAnsi="仿宋" w:eastAsia="仿宋" w:cs="仿宋"/>
                <w:color w:val="auto"/>
                <w:sz w:val="28"/>
                <w:szCs w:val="28"/>
                <w:shd w:val="clear" w:color="auto" w:fill="auto"/>
                <w:lang w:val="en-US" w:eastAsia="zh-CN"/>
              </w:rPr>
            </w:pPr>
            <w:r>
              <w:rPr>
                <w:rFonts w:hint="eastAsia" w:ascii="仿宋" w:hAnsi="仿宋" w:eastAsia="仿宋" w:cs="仿宋"/>
                <w:sz w:val="28"/>
                <w:szCs w:val="28"/>
              </w:rPr>
              <w:t>产品授权证明 (</w:t>
            </w:r>
            <w:r>
              <w:rPr>
                <w:rFonts w:hint="eastAsia" w:ascii="仿宋" w:hAnsi="仿宋" w:eastAsia="仿宋" w:cs="仿宋"/>
                <w:sz w:val="28"/>
                <w:szCs w:val="28"/>
                <w:lang w:val="en-US" w:eastAsia="zh-CN"/>
              </w:rPr>
              <w:t>2</w:t>
            </w:r>
            <w:r>
              <w:rPr>
                <w:rFonts w:hint="eastAsia" w:ascii="仿宋" w:hAnsi="仿宋" w:eastAsia="仿宋" w:cs="仿宋"/>
                <w:sz w:val="28"/>
                <w:szCs w:val="28"/>
              </w:rPr>
              <w:t>.0分)</w:t>
            </w:r>
          </w:p>
        </w:tc>
        <w:tc>
          <w:tcPr>
            <w:tcW w:w="6811" w:type="dxa"/>
            <w:vAlign w:val="top"/>
          </w:tcPr>
          <w:p w14:paraId="767D819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sz w:val="28"/>
                <w:szCs w:val="28"/>
                <w:vertAlign w:val="baseline"/>
              </w:rPr>
            </w:pPr>
            <w:r>
              <w:rPr>
                <w:rFonts w:hint="eastAsia" w:ascii="仿宋" w:hAnsi="仿宋" w:eastAsia="仿宋" w:cs="仿宋"/>
                <w:color w:val="auto"/>
                <w:kern w:val="2"/>
                <w:sz w:val="28"/>
                <w:szCs w:val="28"/>
                <w:shd w:val="clear" w:color="auto" w:fill="auto"/>
                <w:lang w:val="en-US" w:eastAsia="zh-CN" w:bidi="ar-SA"/>
              </w:rPr>
              <w:t>为保证产品具有追溯性且保证质量：如供应商为所投产品制造商，在投标时提供为所投产品制造商的声明函；如供应商为代理经销商，在投标时提供制造商对所投产品的合法授权函或其复印件；满足得2分，不提供不得分。</w:t>
            </w:r>
          </w:p>
        </w:tc>
      </w:tr>
      <w:tr w14:paraId="0059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tcPr>
          <w:p w14:paraId="293DE0E9">
            <w:pPr>
              <w:pStyle w:val="15"/>
              <w:keepNext w:val="0"/>
              <w:keepLines w:val="0"/>
              <w:suppressLineNumbers w:val="0"/>
              <w:spacing w:beforeAutospacing="0" w:afterAutospacing="0" w:line="240" w:lineRule="auto"/>
              <w:ind w:left="0" w:right="0" w:firstLine="0"/>
              <w:rPr>
                <w:rFonts w:hint="eastAsia" w:ascii="仿宋" w:hAnsi="仿宋" w:eastAsia="仿宋"/>
                <w:sz w:val="28"/>
                <w:szCs w:val="28"/>
                <w:vertAlign w:val="baseline"/>
              </w:rPr>
            </w:pPr>
            <w:r>
              <w:rPr>
                <w:rFonts w:hint="eastAsia" w:ascii="仿宋" w:hAnsi="仿宋" w:eastAsia="仿宋" w:cs="仿宋"/>
                <w:sz w:val="28"/>
                <w:szCs w:val="28"/>
                <w:lang w:val="en-US" w:eastAsia="zh-CN"/>
              </w:rPr>
              <w:t>响应</w:t>
            </w:r>
            <w:r>
              <w:rPr>
                <w:rFonts w:hint="eastAsia" w:ascii="仿宋" w:hAnsi="仿宋" w:eastAsia="仿宋" w:cs="仿宋"/>
                <w:sz w:val="28"/>
                <w:szCs w:val="28"/>
              </w:rPr>
              <w:t>报价</w:t>
            </w:r>
          </w:p>
        </w:tc>
        <w:tc>
          <w:tcPr>
            <w:tcW w:w="1623" w:type="dxa"/>
            <w:vAlign w:val="top"/>
          </w:tcPr>
          <w:p w14:paraId="0A772195">
            <w:pPr>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sz w:val="28"/>
                <w:szCs w:val="28"/>
                <w:vertAlign w:val="baseline"/>
              </w:rPr>
            </w:pPr>
            <w:r>
              <w:rPr>
                <w:rFonts w:hint="eastAsia" w:ascii="仿宋" w:hAnsi="仿宋" w:eastAsia="仿宋" w:cs="仿宋"/>
                <w:sz w:val="28"/>
                <w:szCs w:val="28"/>
                <w:lang w:val="en-US" w:eastAsia="zh-CN"/>
              </w:rPr>
              <w:t>响应</w:t>
            </w:r>
            <w:r>
              <w:rPr>
                <w:rFonts w:hint="eastAsia" w:ascii="仿宋" w:hAnsi="仿宋" w:eastAsia="仿宋" w:cs="仿宋"/>
                <w:sz w:val="28"/>
                <w:szCs w:val="28"/>
              </w:rPr>
              <w:t>报价得分 (</w:t>
            </w:r>
            <w:r>
              <w:rPr>
                <w:rFonts w:hint="eastAsia" w:ascii="仿宋" w:hAnsi="仿宋" w:eastAsia="仿宋" w:cs="仿宋"/>
                <w:sz w:val="28"/>
                <w:szCs w:val="28"/>
                <w:lang w:val="en-US" w:eastAsia="zh-CN"/>
              </w:rPr>
              <w:t>3</w:t>
            </w:r>
            <w:r>
              <w:rPr>
                <w:rFonts w:hint="eastAsia" w:ascii="仿宋" w:hAnsi="仿宋" w:eastAsia="仿宋" w:cs="仿宋"/>
                <w:sz w:val="28"/>
                <w:szCs w:val="28"/>
              </w:rPr>
              <w:t>0.0分)</w:t>
            </w:r>
          </w:p>
        </w:tc>
        <w:tc>
          <w:tcPr>
            <w:tcW w:w="6811" w:type="dxa"/>
            <w:vAlign w:val="top"/>
          </w:tcPr>
          <w:p w14:paraId="41123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仿宋" w:hAnsi="仿宋" w:eastAsia="仿宋"/>
                <w:sz w:val="28"/>
                <w:szCs w:val="28"/>
                <w:vertAlign w:val="baseline"/>
              </w:rPr>
            </w:pPr>
            <w:r>
              <w:rPr>
                <w:rFonts w:hint="eastAsia" w:ascii="仿宋" w:hAnsi="仿宋" w:eastAsia="仿宋" w:cs="仿宋"/>
                <w:b w:val="0"/>
                <w:bCs w:val="0"/>
                <w:color w:val="auto"/>
                <w:sz w:val="28"/>
                <w:szCs w:val="28"/>
                <w:lang w:val="en-US" w:eastAsia="zh-CN"/>
              </w:rPr>
              <w:t>响应</w:t>
            </w:r>
            <w:r>
              <w:rPr>
                <w:rFonts w:hint="eastAsia" w:ascii="仿宋" w:hAnsi="仿宋" w:eastAsia="仿宋" w:cs="仿宋"/>
                <w:b w:val="0"/>
                <w:bCs w:val="0"/>
                <w:color w:val="auto"/>
                <w:sz w:val="28"/>
                <w:szCs w:val="28"/>
              </w:rPr>
              <w:t>报价得分(</w:t>
            </w:r>
            <w:r>
              <w:rPr>
                <w:rFonts w:hint="eastAsia" w:ascii="仿宋" w:hAnsi="仿宋" w:eastAsia="仿宋" w:cs="仿宋"/>
                <w:b w:val="0"/>
                <w:bCs w:val="0"/>
                <w:color w:val="auto"/>
                <w:sz w:val="28"/>
                <w:szCs w:val="28"/>
                <w:lang w:val="en-US" w:eastAsia="zh-CN"/>
              </w:rPr>
              <w:t>30</w:t>
            </w:r>
            <w:r>
              <w:rPr>
                <w:rFonts w:hint="eastAsia" w:ascii="仿宋" w:hAnsi="仿宋" w:eastAsia="仿宋" w:cs="仿宋"/>
                <w:b w:val="0"/>
                <w:bCs w:val="0"/>
                <w:color w:val="auto"/>
                <w:sz w:val="28"/>
                <w:szCs w:val="28"/>
              </w:rPr>
              <w:t>.0分)：</w:t>
            </w:r>
            <w:r>
              <w:rPr>
                <w:rFonts w:hint="eastAsia" w:ascii="仿宋" w:hAnsi="仿宋" w:eastAsia="仿宋" w:cs="仿宋"/>
                <w:b w:val="0"/>
                <w:bCs w:val="0"/>
                <w:color w:val="auto"/>
                <w:sz w:val="28"/>
                <w:szCs w:val="28"/>
                <w:lang w:val="en-US" w:eastAsia="zh-CN"/>
              </w:rPr>
              <w:t>响应</w:t>
            </w:r>
            <w:r>
              <w:rPr>
                <w:rFonts w:hint="eastAsia" w:ascii="仿宋" w:hAnsi="仿宋" w:eastAsia="仿宋" w:cs="仿宋"/>
                <w:b w:val="0"/>
                <w:bCs w:val="0"/>
                <w:color w:val="auto"/>
                <w:sz w:val="28"/>
                <w:szCs w:val="28"/>
              </w:rPr>
              <w:t>报价得分＝（基准价/报价）×价格分值【注：满足采购文件要求且</w:t>
            </w:r>
            <w:r>
              <w:rPr>
                <w:rFonts w:hint="eastAsia" w:ascii="仿宋" w:hAnsi="仿宋" w:eastAsia="仿宋" w:cs="仿宋"/>
                <w:b w:val="0"/>
                <w:bCs w:val="0"/>
                <w:color w:val="auto"/>
                <w:sz w:val="28"/>
                <w:szCs w:val="28"/>
                <w:lang w:val="en-US" w:eastAsia="zh-CN"/>
              </w:rPr>
              <w:t>响应</w:t>
            </w:r>
            <w:r>
              <w:rPr>
                <w:rFonts w:hint="eastAsia" w:ascii="仿宋" w:hAnsi="仿宋" w:eastAsia="仿宋" w:cs="仿宋"/>
                <w:b w:val="0"/>
                <w:bCs w:val="0"/>
                <w:color w:val="auto"/>
                <w:sz w:val="28"/>
                <w:szCs w:val="28"/>
              </w:rPr>
              <w:t>价格最低的</w:t>
            </w:r>
            <w:r>
              <w:rPr>
                <w:rFonts w:hint="eastAsia" w:ascii="仿宋" w:hAnsi="仿宋" w:eastAsia="仿宋" w:cs="仿宋"/>
                <w:b w:val="0"/>
                <w:bCs w:val="0"/>
                <w:color w:val="auto"/>
                <w:sz w:val="28"/>
                <w:szCs w:val="28"/>
                <w:lang w:val="en-US" w:eastAsia="zh-CN"/>
              </w:rPr>
              <w:t>响应</w:t>
            </w:r>
            <w:r>
              <w:rPr>
                <w:rFonts w:hint="eastAsia" w:ascii="仿宋" w:hAnsi="仿宋" w:eastAsia="仿宋" w:cs="仿宋"/>
                <w:b w:val="0"/>
                <w:bCs w:val="0"/>
                <w:color w:val="auto"/>
                <w:sz w:val="28"/>
                <w:szCs w:val="28"/>
              </w:rPr>
              <w:t>报价为评标基准价。】最低报价不是中标的唯一依据</w:t>
            </w:r>
            <w:r>
              <w:rPr>
                <w:rFonts w:hint="eastAsia" w:ascii="仿宋" w:hAnsi="仿宋" w:eastAsia="仿宋" w:cs="仿宋"/>
                <w:b w:val="0"/>
                <w:bCs w:val="0"/>
                <w:color w:val="auto"/>
                <w:sz w:val="28"/>
                <w:szCs w:val="28"/>
                <w:lang w:eastAsia="zh-CN"/>
              </w:rPr>
              <w:t>。</w:t>
            </w:r>
          </w:p>
        </w:tc>
      </w:tr>
    </w:tbl>
    <w:p w14:paraId="4F88801B">
      <w:pPr>
        <w:pStyle w:val="15"/>
        <w:spacing w:before="0" w:after="0" w:line="240" w:lineRule="auto"/>
        <w:ind w:left="0" w:leftChars="0" w:firstLine="0" w:firstLineChars="0"/>
        <w:rPr>
          <w:rFonts w:hint="eastAsia" w:ascii="仿宋" w:hAnsi="仿宋" w:eastAsia="仿宋" w:cs="Helvetica Neue"/>
          <w:i/>
          <w:iCs/>
          <w:kern w:val="0"/>
          <w:sz w:val="28"/>
          <w:szCs w:val="28"/>
          <w:lang w:eastAsia="zh-CN"/>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7"/>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7"/>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D6B3D6"/>
    <w:multiLevelType w:val="singleLevel"/>
    <w:tmpl w:val="30D6B3D6"/>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2A2ABD"/>
    <w:rsid w:val="0349745F"/>
    <w:rsid w:val="034D1CC8"/>
    <w:rsid w:val="039842CF"/>
    <w:rsid w:val="039B0D7D"/>
    <w:rsid w:val="03CF104D"/>
    <w:rsid w:val="03D567D9"/>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042ADE"/>
    <w:rsid w:val="087F780C"/>
    <w:rsid w:val="088D64EC"/>
    <w:rsid w:val="08BA4CE8"/>
    <w:rsid w:val="090430D9"/>
    <w:rsid w:val="095344A8"/>
    <w:rsid w:val="095B73E3"/>
    <w:rsid w:val="09721F8E"/>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5F09C4"/>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1B53C5"/>
    <w:rsid w:val="122F3B48"/>
    <w:rsid w:val="12473DB3"/>
    <w:rsid w:val="125D1EF2"/>
    <w:rsid w:val="12722EA2"/>
    <w:rsid w:val="12BF30B1"/>
    <w:rsid w:val="12CE5D17"/>
    <w:rsid w:val="12D4449D"/>
    <w:rsid w:val="13147980"/>
    <w:rsid w:val="134A6C68"/>
    <w:rsid w:val="134C0C32"/>
    <w:rsid w:val="13655850"/>
    <w:rsid w:val="13BC3A75"/>
    <w:rsid w:val="14BD5114"/>
    <w:rsid w:val="14DF5D99"/>
    <w:rsid w:val="15085D61"/>
    <w:rsid w:val="154E3E6E"/>
    <w:rsid w:val="15701BB9"/>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42BF6"/>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5B5210"/>
    <w:rsid w:val="1C940F54"/>
    <w:rsid w:val="1C996FE2"/>
    <w:rsid w:val="1D2D5615"/>
    <w:rsid w:val="1D6B06CF"/>
    <w:rsid w:val="1D7946FD"/>
    <w:rsid w:val="1DE74786"/>
    <w:rsid w:val="1DEA7E9E"/>
    <w:rsid w:val="1DEE4026"/>
    <w:rsid w:val="1E210611"/>
    <w:rsid w:val="1E361C38"/>
    <w:rsid w:val="1EA27958"/>
    <w:rsid w:val="1EAA2CB1"/>
    <w:rsid w:val="1ECF4EF5"/>
    <w:rsid w:val="1ED649B9"/>
    <w:rsid w:val="1F0C571A"/>
    <w:rsid w:val="1F1D16D5"/>
    <w:rsid w:val="1F2573EA"/>
    <w:rsid w:val="1F4D284C"/>
    <w:rsid w:val="1F501AAA"/>
    <w:rsid w:val="1FAE25F1"/>
    <w:rsid w:val="1FB060A0"/>
    <w:rsid w:val="1FE2463C"/>
    <w:rsid w:val="20324395"/>
    <w:rsid w:val="20FC6855"/>
    <w:rsid w:val="21380790"/>
    <w:rsid w:val="217113DA"/>
    <w:rsid w:val="21795977"/>
    <w:rsid w:val="21844BB5"/>
    <w:rsid w:val="21977500"/>
    <w:rsid w:val="21A67B84"/>
    <w:rsid w:val="21FA6DF4"/>
    <w:rsid w:val="21FC7871"/>
    <w:rsid w:val="2210130D"/>
    <w:rsid w:val="22950817"/>
    <w:rsid w:val="22B8599C"/>
    <w:rsid w:val="22BD491D"/>
    <w:rsid w:val="22C84412"/>
    <w:rsid w:val="233562BF"/>
    <w:rsid w:val="23384D2F"/>
    <w:rsid w:val="23464DE4"/>
    <w:rsid w:val="237E56C3"/>
    <w:rsid w:val="24030E16"/>
    <w:rsid w:val="244A678E"/>
    <w:rsid w:val="249825F1"/>
    <w:rsid w:val="24992D0D"/>
    <w:rsid w:val="24AC023E"/>
    <w:rsid w:val="24CF5954"/>
    <w:rsid w:val="24F64DA5"/>
    <w:rsid w:val="25C14F7B"/>
    <w:rsid w:val="26013B1B"/>
    <w:rsid w:val="261920E3"/>
    <w:rsid w:val="261E1534"/>
    <w:rsid w:val="26B17905"/>
    <w:rsid w:val="26B97F35"/>
    <w:rsid w:val="26D24169"/>
    <w:rsid w:val="27174C5C"/>
    <w:rsid w:val="273067C9"/>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0A5828"/>
    <w:rsid w:val="2B547350"/>
    <w:rsid w:val="2B7D771F"/>
    <w:rsid w:val="2C195BCB"/>
    <w:rsid w:val="2C2A7D12"/>
    <w:rsid w:val="2CAD701C"/>
    <w:rsid w:val="2CD33817"/>
    <w:rsid w:val="2D095824"/>
    <w:rsid w:val="2D5672B1"/>
    <w:rsid w:val="2DC51013"/>
    <w:rsid w:val="2DCF44E2"/>
    <w:rsid w:val="2DDE2EA9"/>
    <w:rsid w:val="2E47648F"/>
    <w:rsid w:val="2E565B2A"/>
    <w:rsid w:val="2E6812E3"/>
    <w:rsid w:val="2E7C4629"/>
    <w:rsid w:val="2EC64B5C"/>
    <w:rsid w:val="2ED400C3"/>
    <w:rsid w:val="2F9000D8"/>
    <w:rsid w:val="2FBB4D1E"/>
    <w:rsid w:val="303F591A"/>
    <w:rsid w:val="3047087F"/>
    <w:rsid w:val="30684342"/>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1225C8"/>
    <w:rsid w:val="35335A0B"/>
    <w:rsid w:val="356674DA"/>
    <w:rsid w:val="35DE09C9"/>
    <w:rsid w:val="36483084"/>
    <w:rsid w:val="366B04D8"/>
    <w:rsid w:val="36B10C29"/>
    <w:rsid w:val="37425D25"/>
    <w:rsid w:val="376408CA"/>
    <w:rsid w:val="37774228"/>
    <w:rsid w:val="37AE3A93"/>
    <w:rsid w:val="382B5A14"/>
    <w:rsid w:val="382D4AFA"/>
    <w:rsid w:val="38360444"/>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30272B"/>
    <w:rsid w:val="3B5D3537"/>
    <w:rsid w:val="3B5E12EE"/>
    <w:rsid w:val="3B6A3D00"/>
    <w:rsid w:val="3B6B0611"/>
    <w:rsid w:val="3B8C5F20"/>
    <w:rsid w:val="3B94244F"/>
    <w:rsid w:val="3BB70085"/>
    <w:rsid w:val="3C23409E"/>
    <w:rsid w:val="3C4B2A92"/>
    <w:rsid w:val="3C8446EA"/>
    <w:rsid w:val="3C907271"/>
    <w:rsid w:val="3CCB2319"/>
    <w:rsid w:val="3DA171BA"/>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3A7B79"/>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23E2F"/>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BD70AF"/>
    <w:rsid w:val="4AD11442"/>
    <w:rsid w:val="4AF0069C"/>
    <w:rsid w:val="4B6B71A0"/>
    <w:rsid w:val="4C170202"/>
    <w:rsid w:val="4C1757F5"/>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A84704"/>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1D2654"/>
    <w:rsid w:val="56580702"/>
    <w:rsid w:val="568E6439"/>
    <w:rsid w:val="56C65BD3"/>
    <w:rsid w:val="56F85B30"/>
    <w:rsid w:val="570F2729"/>
    <w:rsid w:val="573B31D8"/>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8C3783F"/>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D53C62"/>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60D33"/>
    <w:rsid w:val="71794B59"/>
    <w:rsid w:val="71855AEF"/>
    <w:rsid w:val="719D47F2"/>
    <w:rsid w:val="71E02949"/>
    <w:rsid w:val="723E0A6C"/>
    <w:rsid w:val="723E572B"/>
    <w:rsid w:val="729329B5"/>
    <w:rsid w:val="72D44160"/>
    <w:rsid w:val="72FD0776"/>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E636B9"/>
    <w:rsid w:val="78F13F3B"/>
    <w:rsid w:val="78FE0FC6"/>
    <w:rsid w:val="7A35049E"/>
    <w:rsid w:val="7AAC0AB8"/>
    <w:rsid w:val="7AB64072"/>
    <w:rsid w:val="7B05200B"/>
    <w:rsid w:val="7B181CD7"/>
    <w:rsid w:val="7B2335C6"/>
    <w:rsid w:val="7B503065"/>
    <w:rsid w:val="7B79797E"/>
    <w:rsid w:val="7C1A4147"/>
    <w:rsid w:val="7C3051CE"/>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 w:val="7FDB73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2">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3">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4">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7"/>
    <w:semiHidden/>
    <w:unhideWhenUsed/>
    <w:qFormat/>
    <w:uiPriority w:val="99"/>
    <w:pPr>
      <w:spacing w:line="240" w:lineRule="auto"/>
    </w:pPr>
    <w:rPr>
      <w:sz w:val="18"/>
      <w:szCs w:val="18"/>
    </w:r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0">
    <w:name w:val="Normal (Web)"/>
    <w:basedOn w:val="1"/>
    <w:semiHidden/>
    <w:unhideWhenUsed/>
    <w:qFormat/>
    <w:uiPriority w:val="99"/>
    <w:pPr>
      <w:spacing w:line="240" w:lineRule="auto"/>
      <w:ind w:firstLine="0"/>
    </w:pPr>
    <w:rPr>
      <w:sz w:val="24"/>
      <w:szCs w:val="24"/>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locked/>
    <w:uiPriority w:val="0"/>
    <w:rPr>
      <w:b/>
    </w:rPr>
  </w:style>
  <w:style w:type="paragraph" w:customStyle="1" w:styleId="15">
    <w:name w:val="表格文字"/>
    <w:basedOn w:val="1"/>
    <w:qFormat/>
    <w:uiPriority w:val="0"/>
    <w:pPr>
      <w:snapToGrid w:val="0"/>
      <w:spacing w:before="25" w:after="25"/>
    </w:pPr>
    <w:rPr>
      <w:rFonts w:ascii="Calibri" w:hAnsi="Calibri" w:eastAsia="Calibri"/>
      <w:bCs/>
      <w:spacing w:val="10"/>
      <w:sz w:val="24"/>
      <w:szCs w:val="20"/>
      <w:lang w:eastAsia="en-US"/>
    </w:rPr>
  </w:style>
  <w:style w:type="character" w:customStyle="1" w:styleId="16">
    <w:name w:val="标题 2 Char"/>
    <w:basedOn w:val="13"/>
    <w:link w:val="2"/>
    <w:qFormat/>
    <w:uiPriority w:val="99"/>
    <w:rPr>
      <w:rFonts w:ascii="Cambria" w:hAnsi="Cambria" w:eastAsia="宋体" w:cs="Times New Roman"/>
      <w:smallCaps/>
      <w:kern w:val="0"/>
      <w:sz w:val="28"/>
      <w:szCs w:val="28"/>
      <w:lang w:eastAsia="en-US"/>
    </w:rPr>
  </w:style>
  <w:style w:type="character" w:customStyle="1" w:styleId="17">
    <w:name w:val="标题 6 Char"/>
    <w:basedOn w:val="13"/>
    <w:link w:val="4"/>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3"/>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3"/>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3"/>
    <w:link w:val="8"/>
    <w:qFormat/>
    <w:uiPriority w:val="99"/>
    <w:rPr>
      <w:sz w:val="18"/>
      <w:szCs w:val="18"/>
    </w:rPr>
  </w:style>
  <w:style w:type="character" w:customStyle="1" w:styleId="26">
    <w:name w:val="页脚 Char"/>
    <w:basedOn w:val="13"/>
    <w:link w:val="7"/>
    <w:qFormat/>
    <w:uiPriority w:val="99"/>
    <w:rPr>
      <w:sz w:val="18"/>
      <w:szCs w:val="18"/>
    </w:rPr>
  </w:style>
  <w:style w:type="character" w:customStyle="1" w:styleId="27">
    <w:name w:val="批注框文本 Char"/>
    <w:basedOn w:val="13"/>
    <w:link w:val="6"/>
    <w:semiHidden/>
    <w:qFormat/>
    <w:uiPriority w:val="99"/>
    <w:rPr>
      <w:rFonts w:ascii="Times New Roman" w:hAnsi="Times New Roman" w:eastAsia="仿宋_GB2312"/>
      <w:sz w:val="18"/>
      <w:szCs w:val="18"/>
    </w:rPr>
  </w:style>
  <w:style w:type="character" w:customStyle="1" w:styleId="28">
    <w:name w:val="标题 3 Char"/>
    <w:basedOn w:val="13"/>
    <w:link w:val="3"/>
    <w:qFormat/>
    <w:uiPriority w:val="0"/>
    <w:rPr>
      <w:rFonts w:ascii="Times New Roman" w:hAnsi="Times New Roman" w:eastAsia="仿宋_GB2312" w:cs="Times New Roman"/>
      <w:b/>
      <w:bCs/>
      <w:kern w:val="2"/>
      <w:sz w:val="32"/>
      <w:szCs w:val="32"/>
    </w:rPr>
  </w:style>
  <w:style w:type="character" w:customStyle="1" w:styleId="29">
    <w:name w:val="副标题 Char"/>
    <w:basedOn w:val="13"/>
    <w:link w:val="9"/>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8</Pages>
  <Words>5441</Words>
  <Characters>5579</Characters>
  <Lines>40</Lines>
  <Paragraphs>11</Paragraphs>
  <TotalTime>0</TotalTime>
  <ScaleCrop>false</ScaleCrop>
  <LinksUpToDate>false</LinksUpToDate>
  <CharactersWithSpaces>5606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Administrator</cp:lastModifiedBy>
  <cp:lastPrinted>2025-10-27T10:12:00Z</cp:lastPrinted>
  <dcterms:modified xsi:type="dcterms:W3CDTF">2026-08-18T06:44:10Z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