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7</w:t>
      </w:r>
      <w:r>
        <w:rPr>
          <w:rFonts w:hint="eastAsia" w:ascii="仿宋_GB2312" w:hAnsi="仿宋_GB2312" w:cs="仿宋_GB2312"/>
          <w:b/>
          <w:bCs/>
        </w:rPr>
        <w:t>：</w:t>
      </w:r>
      <w:bookmarkStart w:id="0" w:name="_GoBack"/>
      <w:bookmarkEnd w:id="0"/>
    </w:p>
    <w:p w14:paraId="3A3B0F4E">
      <w:pPr>
        <w:pStyle w:val="3"/>
        <w:jc w:val="center"/>
        <w:rPr>
          <w:rFonts w:hint="eastAsia" w:ascii="方正小标宋简体" w:eastAsia="方正小标宋简体"/>
          <w:sz w:val="44"/>
          <w:szCs w:val="44"/>
        </w:rPr>
      </w:pPr>
      <w:r>
        <w:rPr>
          <w:rFonts w:hint="eastAsia" w:ascii="方正小标宋简体" w:eastAsia="方正小标宋简体"/>
          <w:sz w:val="44"/>
          <w:szCs w:val="44"/>
        </w:rPr>
        <w:t>迈瑞监护仪rSO2-MR（脑部与区域血氧饱和度监测）模块技术要求及</w:t>
      </w:r>
      <w:r>
        <w:rPr>
          <w:rFonts w:hint="eastAsia" w:ascii="方正小标宋简体" w:eastAsia="方正小标宋简体"/>
          <w:sz w:val="44"/>
          <w:szCs w:val="44"/>
          <w:lang w:eastAsia="zh-CN"/>
        </w:rPr>
        <w:t>具</w:t>
      </w:r>
      <w:r>
        <w:rPr>
          <w:rFonts w:hint="eastAsia" w:ascii="方正小标宋简体" w:eastAsia="方正小标宋简体"/>
          <w:sz w:val="44"/>
          <w:szCs w:val="44"/>
        </w:rPr>
        <w:t>体评审标准</w:t>
      </w:r>
    </w:p>
    <w:p w14:paraId="3A2C0485">
      <w:pPr>
        <w:rPr>
          <w:rFonts w:hint="eastAsia" w:eastAsia="方正小标宋简体"/>
          <w:lang w:eastAsia="zh-CN"/>
        </w:rPr>
      </w:pPr>
      <w:r>
        <w:rPr>
          <w:rFonts w:hint="eastAsia" w:ascii="宋体" w:hAnsi="宋体" w:eastAsia="宋体" w:cs="宋体"/>
          <w:b/>
          <w:bCs/>
          <w:sz w:val="32"/>
          <w:szCs w:val="32"/>
          <w:lang w:eastAsia="zh-CN"/>
        </w:rPr>
        <w:t>一、迈瑞监护仪rSO2-MR（脑部与区域血氧饱和度监测）模块技术要求</w:t>
      </w:r>
    </w:p>
    <w:tbl>
      <w:tblPr>
        <w:tblStyle w:val="11"/>
        <w:tblpPr w:leftFromText="180" w:rightFromText="180" w:vertAnchor="text" w:horzAnchor="page" w:tblpX="1747" w:tblpY="135"/>
        <w:tblOverlap w:val="never"/>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7"/>
        <w:gridCol w:w="807"/>
        <w:gridCol w:w="7180"/>
      </w:tblGrid>
      <w:tr w14:paraId="64EF3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7" w:type="dxa"/>
            <w:vAlign w:val="center"/>
          </w:tcPr>
          <w:p w14:paraId="7A7F5217">
            <w:pPr>
              <w:ind w:firstLine="0"/>
              <w:jc w:val="center"/>
              <w:rPr>
                <w:rFonts w:ascii="仿宋" w:hAnsi="仿宋" w:eastAsia="仿宋" w:cs="仿宋"/>
                <w:b/>
                <w:bCs/>
                <w:sz w:val="24"/>
                <w:szCs w:val="24"/>
              </w:rPr>
            </w:pPr>
            <w:r>
              <w:rPr>
                <w:rFonts w:hint="eastAsia" w:ascii="仿宋" w:hAnsi="仿宋" w:eastAsia="仿宋" w:cs="仿宋"/>
                <w:b/>
                <w:bCs/>
                <w:sz w:val="24"/>
                <w:szCs w:val="24"/>
              </w:rPr>
              <w:t>参数性质</w:t>
            </w:r>
          </w:p>
        </w:tc>
        <w:tc>
          <w:tcPr>
            <w:tcW w:w="807" w:type="dxa"/>
            <w:vAlign w:val="center"/>
          </w:tcPr>
          <w:p w14:paraId="1104916A">
            <w:pPr>
              <w:ind w:firstLine="0"/>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7180" w:type="dxa"/>
            <w:vAlign w:val="center"/>
          </w:tcPr>
          <w:p w14:paraId="44768BCB">
            <w:pPr>
              <w:jc w:val="center"/>
              <w:rPr>
                <w:rFonts w:ascii="仿宋" w:hAnsi="仿宋" w:eastAsia="仿宋" w:cs="仿宋"/>
                <w:sz w:val="24"/>
                <w:szCs w:val="24"/>
              </w:rPr>
            </w:pPr>
            <w:r>
              <w:rPr>
                <w:rFonts w:hint="eastAsia" w:ascii="仿宋" w:hAnsi="仿宋" w:eastAsia="仿宋" w:cs="仿宋"/>
                <w:b/>
                <w:bCs/>
                <w:sz w:val="24"/>
                <w:szCs w:val="24"/>
              </w:rPr>
              <w:t>具体技术(参数)要求</w:t>
            </w:r>
          </w:p>
        </w:tc>
      </w:tr>
      <w:tr w14:paraId="3A3A7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807" w:type="dxa"/>
            <w:vAlign w:val="center"/>
          </w:tcPr>
          <w:p w14:paraId="1DF01A01">
            <w:pPr>
              <w:ind w:firstLine="0"/>
              <w:jc w:val="center"/>
              <w:rPr>
                <w:rFonts w:ascii="宋体" w:hAnsi="宋体" w:eastAsia="宋体" w:cs="宋体"/>
                <w:b/>
                <w:bCs/>
                <w:sz w:val="18"/>
                <w:szCs w:val="18"/>
              </w:rPr>
            </w:pPr>
          </w:p>
        </w:tc>
        <w:tc>
          <w:tcPr>
            <w:tcW w:w="807" w:type="dxa"/>
            <w:vAlign w:val="center"/>
          </w:tcPr>
          <w:p w14:paraId="4131C809">
            <w:pPr>
              <w:ind w:firstLine="0"/>
              <w:jc w:val="center"/>
              <w:rPr>
                <w:rFonts w:ascii="宋体" w:hAnsi="宋体" w:eastAsia="宋体" w:cs="宋体"/>
                <w:b/>
                <w:bCs/>
                <w:sz w:val="18"/>
                <w:szCs w:val="18"/>
              </w:rPr>
            </w:pPr>
            <w:r>
              <w:rPr>
                <w:rFonts w:hint="eastAsia" w:ascii="宋体" w:hAnsi="宋体" w:eastAsia="宋体" w:cs="宋体"/>
                <w:b/>
                <w:bCs/>
                <w:sz w:val="18"/>
                <w:szCs w:val="18"/>
              </w:rPr>
              <w:t>1</w:t>
            </w:r>
          </w:p>
        </w:tc>
        <w:tc>
          <w:tcPr>
            <w:tcW w:w="7180" w:type="dxa"/>
            <w:vAlign w:val="center"/>
          </w:tcPr>
          <w:p w14:paraId="44562328">
            <w:pPr>
              <w:spacing w:line="360" w:lineRule="exact"/>
              <w:ind w:firstLine="0"/>
              <w:jc w:val="left"/>
              <w:rPr>
                <w:rFonts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
                <w:bCs/>
                <w:sz w:val="21"/>
                <w:szCs w:val="21"/>
              </w:rPr>
              <w:t>一、项目总体要求：</w:t>
            </w:r>
            <w:r>
              <w:rPr>
                <w:rFonts w:hint="eastAsia" w:ascii="宋体" w:hAnsi="宋体" w:eastAsia="宋体" w:cs="宋体"/>
                <w:bCs/>
                <w:color w:val="000000" w:themeColor="text1"/>
                <w:kern w:val="0"/>
                <w:sz w:val="21"/>
                <w:szCs w:val="21"/>
                <w14:textFill>
                  <w14:solidFill>
                    <w14:schemeClr w14:val="tx1"/>
                  </w14:solidFill>
                </w14:textFill>
              </w:rPr>
              <w:t>rSO2-MR(脑部与区域血氧饱和度监测）模块具有有效的中华人民共和国医疗器械注册证（提供注册证明文件）。</w:t>
            </w:r>
          </w:p>
        </w:tc>
      </w:tr>
      <w:tr w14:paraId="354F1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2" w:hRule="atLeast"/>
        </w:trPr>
        <w:tc>
          <w:tcPr>
            <w:tcW w:w="807" w:type="dxa"/>
            <w:vAlign w:val="center"/>
          </w:tcPr>
          <w:p w14:paraId="2C014ADD">
            <w:pPr>
              <w:ind w:firstLine="0"/>
              <w:jc w:val="center"/>
              <w:rPr>
                <w:rFonts w:hint="eastAsia" w:ascii="宋体" w:hAnsi="宋体" w:eastAsia="宋体" w:cs="宋体"/>
                <w:b w:val="0"/>
                <w:bCs w:val="0"/>
                <w:sz w:val="24"/>
                <w:szCs w:val="24"/>
              </w:rPr>
            </w:pPr>
          </w:p>
        </w:tc>
        <w:tc>
          <w:tcPr>
            <w:tcW w:w="807" w:type="dxa"/>
            <w:shd w:val="clear" w:color="auto" w:fill="auto"/>
            <w:vAlign w:val="center"/>
          </w:tcPr>
          <w:p w14:paraId="0320E6F2">
            <w:pPr>
              <w:ind w:firstLine="0" w:firstLineChars="0"/>
              <w:jc w:val="center"/>
              <w:rPr>
                <w:rFonts w:hint="eastAsia" w:ascii="宋体" w:hAnsi="宋体" w:eastAsia="宋体" w:cs="宋体"/>
                <w:b/>
                <w:bCs/>
                <w:kern w:val="2"/>
                <w:sz w:val="18"/>
                <w:szCs w:val="18"/>
                <w:lang w:val="en-US" w:eastAsia="zh-CN" w:bidi="ar-SA"/>
              </w:rPr>
            </w:pPr>
            <w:r>
              <w:rPr>
                <w:rFonts w:hint="eastAsia" w:ascii="宋体" w:hAnsi="宋体" w:eastAsia="宋体" w:cs="宋体"/>
                <w:b/>
                <w:bCs/>
                <w:sz w:val="18"/>
                <w:szCs w:val="18"/>
              </w:rPr>
              <w:t>2</w:t>
            </w:r>
          </w:p>
        </w:tc>
        <w:tc>
          <w:tcPr>
            <w:tcW w:w="7180" w:type="dxa"/>
            <w:vAlign w:val="center"/>
          </w:tcPr>
          <w:p w14:paraId="4540F4CA">
            <w:pPr>
              <w:spacing w:line="360" w:lineRule="exact"/>
              <w:ind w:firstLine="0"/>
              <w:jc w:val="left"/>
              <w:rPr>
                <w:rFonts w:hint="eastAsia" w:ascii="宋体" w:hAnsi="宋体" w:eastAsia="宋体" w:cs="宋体"/>
                <w:b/>
                <w:bCs/>
                <w:sz w:val="21"/>
                <w:szCs w:val="21"/>
              </w:rPr>
            </w:pPr>
            <w:r>
              <w:rPr>
                <w:rFonts w:hint="eastAsia" w:ascii="宋体" w:hAnsi="宋体" w:eastAsia="宋体" w:cs="宋体"/>
                <w:b w:val="0"/>
                <w:bCs w:val="0"/>
                <w:sz w:val="21"/>
                <w:szCs w:val="21"/>
              </w:rPr>
              <w:t>可连接医院的</w:t>
            </w:r>
            <w:r>
              <w:rPr>
                <w:rFonts w:hint="eastAsia" w:ascii="宋体" w:hAnsi="宋体" w:eastAsia="宋体" w:cs="宋体"/>
                <w:b w:val="0"/>
                <w:bCs w:val="0"/>
                <w:sz w:val="21"/>
                <w:szCs w:val="21"/>
                <w:lang w:eastAsia="zh-CN"/>
              </w:rPr>
              <w:t>重症</w:t>
            </w:r>
            <w:r>
              <w:rPr>
                <w:rFonts w:hint="eastAsia" w:ascii="宋体" w:hAnsi="宋体" w:eastAsia="宋体" w:cs="宋体"/>
                <w:b w:val="0"/>
                <w:bCs w:val="0"/>
                <w:sz w:val="21"/>
                <w:szCs w:val="21"/>
              </w:rPr>
              <w:t>系统，连接系统所需的一切费用均包含在报价中；</w:t>
            </w:r>
          </w:p>
        </w:tc>
      </w:tr>
      <w:tr w14:paraId="674E3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41" w:hRule="exact"/>
        </w:trPr>
        <w:tc>
          <w:tcPr>
            <w:tcW w:w="807" w:type="dxa"/>
            <w:vAlign w:val="center"/>
          </w:tcPr>
          <w:p w14:paraId="4C8994A7">
            <w:pPr>
              <w:ind w:firstLine="0"/>
              <w:jc w:val="center"/>
              <w:rPr>
                <w:rFonts w:ascii="宋体" w:hAnsi="宋体" w:eastAsia="宋体" w:cs="宋体"/>
                <w:b/>
                <w:bCs/>
                <w:sz w:val="18"/>
                <w:szCs w:val="18"/>
              </w:rPr>
            </w:pPr>
          </w:p>
        </w:tc>
        <w:tc>
          <w:tcPr>
            <w:tcW w:w="807" w:type="dxa"/>
            <w:shd w:val="clear" w:color="auto" w:fill="auto"/>
            <w:vAlign w:val="center"/>
          </w:tcPr>
          <w:p w14:paraId="7C4B4BCC">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3</w:t>
            </w:r>
          </w:p>
        </w:tc>
        <w:tc>
          <w:tcPr>
            <w:tcW w:w="7180" w:type="dxa"/>
            <w:shd w:val="clear" w:color="auto" w:fill="auto"/>
            <w:vAlign w:val="center"/>
          </w:tcPr>
          <w:p w14:paraId="6C2DA53A">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lang w:eastAsia="zh-CN"/>
              </w:rPr>
              <w:t>二</w:t>
            </w:r>
            <w:r>
              <w:rPr>
                <w:rFonts w:hint="eastAsia" w:ascii="宋体" w:hAnsi="宋体" w:eastAsia="宋体" w:cs="宋体"/>
                <w:color w:val="333333"/>
                <w:sz w:val="21"/>
                <w:szCs w:val="21"/>
                <w:shd w:val="clear" w:color="auto" w:fill="FFFFFF"/>
              </w:rPr>
              <w:t>、</w:t>
            </w:r>
            <w:r>
              <w:rPr>
                <w:rFonts w:hint="eastAsia" w:ascii="宋体" w:hAnsi="宋体" w:eastAsia="宋体" w:cs="宋体"/>
                <w:b/>
                <w:bCs/>
                <w:color w:val="333333"/>
                <w:sz w:val="21"/>
                <w:szCs w:val="21"/>
                <w:shd w:val="clear" w:color="auto" w:fill="FFFFFF"/>
              </w:rPr>
              <w:t>rSO2-MR(脑部与区域血氧饱和度监测）模块参数要求：</w:t>
            </w:r>
          </w:p>
          <w:p w14:paraId="28C7FF03">
            <w:pPr>
              <w:pStyle w:val="10"/>
              <w:widowControl/>
              <w:shd w:val="clear" w:color="auto" w:fill="FFFFFF"/>
              <w:spacing w:before="144" w:line="240" w:lineRule="exact"/>
              <w:rPr>
                <w:rFonts w:hint="default" w:ascii="宋体" w:hAnsi="宋体" w:eastAsia="宋体" w:cs="宋体"/>
                <w:color w:val="333333"/>
                <w:sz w:val="21"/>
                <w:szCs w:val="21"/>
                <w:shd w:val="clear" w:color="auto" w:fill="FFFFFF"/>
                <w:lang w:val="en-US" w:eastAsia="zh-CN"/>
              </w:rPr>
            </w:pPr>
            <w:r>
              <w:rPr>
                <w:rFonts w:hint="eastAsia" w:ascii="宋体" w:hAnsi="宋体" w:eastAsia="宋体" w:cs="宋体"/>
                <w:color w:val="333333"/>
                <w:sz w:val="21"/>
                <w:szCs w:val="21"/>
                <w:shd w:val="clear" w:color="auto" w:fill="FFFFFF"/>
              </w:rPr>
              <w:t>1、数量：2套，适配迈瑞BeneVision N12、N17监护仪；</w:t>
            </w:r>
            <w:r>
              <w:rPr>
                <w:rFonts w:hint="eastAsia" w:ascii="宋体" w:hAnsi="宋体" w:eastAsia="宋体" w:cs="宋体"/>
                <w:color w:val="333333"/>
                <w:sz w:val="21"/>
                <w:szCs w:val="21"/>
                <w:shd w:val="clear" w:color="auto" w:fill="FFFFFF"/>
                <w:lang w:eastAsia="zh-CN"/>
              </w:rPr>
              <w:t>保修期：≥</w:t>
            </w:r>
            <w:r>
              <w:rPr>
                <w:rFonts w:hint="eastAsia" w:ascii="宋体" w:hAnsi="宋体" w:eastAsia="宋体" w:cs="宋体"/>
                <w:color w:val="333333"/>
                <w:sz w:val="21"/>
                <w:szCs w:val="21"/>
                <w:shd w:val="clear" w:color="auto" w:fill="FFFFFF"/>
                <w:lang w:val="en-US" w:eastAsia="zh-CN"/>
              </w:rPr>
              <w:t>1年</w:t>
            </w:r>
          </w:p>
        </w:tc>
      </w:tr>
      <w:tr w14:paraId="77CB7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13" w:hRule="exact"/>
        </w:trPr>
        <w:tc>
          <w:tcPr>
            <w:tcW w:w="807" w:type="dxa"/>
            <w:vAlign w:val="center"/>
          </w:tcPr>
          <w:p w14:paraId="5378F439">
            <w:pPr>
              <w:ind w:firstLine="0"/>
              <w:jc w:val="center"/>
              <w:rPr>
                <w:rFonts w:ascii="宋体" w:hAnsi="宋体" w:eastAsia="宋体" w:cs="宋体"/>
                <w:b/>
                <w:bCs/>
                <w:sz w:val="18"/>
                <w:szCs w:val="18"/>
              </w:rPr>
            </w:pPr>
          </w:p>
        </w:tc>
        <w:tc>
          <w:tcPr>
            <w:tcW w:w="807" w:type="dxa"/>
            <w:shd w:val="clear" w:color="auto" w:fill="auto"/>
            <w:vAlign w:val="center"/>
          </w:tcPr>
          <w:p w14:paraId="47ED1733">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4</w:t>
            </w:r>
          </w:p>
        </w:tc>
        <w:tc>
          <w:tcPr>
            <w:tcW w:w="7180" w:type="dxa"/>
            <w:shd w:val="clear" w:color="auto" w:fill="auto"/>
            <w:vAlign w:val="center"/>
          </w:tcPr>
          <w:p w14:paraId="068C9FE3">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2、脑部血氧饱和度监测模块，采用近红外光谱测量法，提供无创和持续的rSO2监测信息，采用热插拔方式，无需单独的电源，插入监护仪即可使用；</w:t>
            </w:r>
          </w:p>
        </w:tc>
      </w:tr>
      <w:tr w14:paraId="0183A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9" w:hRule="exact"/>
        </w:trPr>
        <w:tc>
          <w:tcPr>
            <w:tcW w:w="807" w:type="dxa"/>
            <w:vAlign w:val="center"/>
          </w:tcPr>
          <w:p w14:paraId="492062B1">
            <w:pPr>
              <w:ind w:firstLine="0"/>
              <w:jc w:val="center"/>
              <w:rPr>
                <w:rFonts w:ascii="宋体" w:hAnsi="宋体" w:eastAsia="宋体" w:cs="宋体"/>
                <w:b/>
                <w:bCs/>
                <w:sz w:val="18"/>
                <w:szCs w:val="18"/>
              </w:rPr>
            </w:pPr>
          </w:p>
        </w:tc>
        <w:tc>
          <w:tcPr>
            <w:tcW w:w="807" w:type="dxa"/>
            <w:shd w:val="clear" w:color="auto" w:fill="auto"/>
            <w:vAlign w:val="center"/>
          </w:tcPr>
          <w:p w14:paraId="470B2634">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5</w:t>
            </w:r>
          </w:p>
        </w:tc>
        <w:tc>
          <w:tcPr>
            <w:tcW w:w="7180" w:type="dxa"/>
            <w:shd w:val="clear" w:color="auto" w:fill="auto"/>
            <w:vAlign w:val="center"/>
          </w:tcPr>
          <w:p w14:paraId="21F0BC5D">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3、支持4通道rSO2监测，可用于成人和小儿大脑组织血氧饱和度监测；</w:t>
            </w:r>
          </w:p>
        </w:tc>
      </w:tr>
      <w:tr w14:paraId="55893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27" w:hRule="exact"/>
        </w:trPr>
        <w:tc>
          <w:tcPr>
            <w:tcW w:w="807" w:type="dxa"/>
            <w:vAlign w:val="center"/>
          </w:tcPr>
          <w:p w14:paraId="50BEA60A">
            <w:pPr>
              <w:ind w:firstLine="0"/>
              <w:jc w:val="center"/>
              <w:rPr>
                <w:rFonts w:ascii="宋体" w:hAnsi="宋体" w:eastAsia="宋体" w:cs="宋体"/>
                <w:b/>
                <w:bCs/>
                <w:sz w:val="18"/>
                <w:szCs w:val="18"/>
              </w:rPr>
            </w:pPr>
          </w:p>
        </w:tc>
        <w:tc>
          <w:tcPr>
            <w:tcW w:w="807" w:type="dxa"/>
            <w:shd w:val="clear" w:color="auto" w:fill="auto"/>
            <w:vAlign w:val="center"/>
          </w:tcPr>
          <w:p w14:paraId="4EA74459">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6</w:t>
            </w:r>
          </w:p>
        </w:tc>
        <w:tc>
          <w:tcPr>
            <w:tcW w:w="7180" w:type="dxa"/>
            <w:shd w:val="clear" w:color="auto" w:fill="auto"/>
            <w:vAlign w:val="center"/>
          </w:tcPr>
          <w:p w14:paraId="74F474C3">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4、监测参数包括：</w:t>
            </w:r>
          </w:p>
          <w:p w14:paraId="01EFE01D">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a)实时rSO2测量值，显示范围：0-99%</w:t>
            </w:r>
          </w:p>
          <w:p w14:paraId="5EBF0F94">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b)rSO2基线数值</w:t>
            </w:r>
          </w:p>
          <w:p w14:paraId="78C77B3C">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c)信号强度指数SSI</w:t>
            </w:r>
          </w:p>
          <w:p w14:paraId="52F75633">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d)rSO2相对于基线的变化百分比</w:t>
            </w:r>
          </w:p>
          <w:p w14:paraId="25544E3B">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e)rSO2相对于基线的变化绝对值</w:t>
            </w:r>
          </w:p>
          <w:p w14:paraId="7E0CFFE5">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f)rSO2最近60分钟平均值</w:t>
            </w:r>
          </w:p>
          <w:p w14:paraId="1743A67A">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g)低于阈值的累积饱和度（AUC）；</w:t>
            </w:r>
          </w:p>
          <w:p w14:paraId="18B3A680">
            <w:pPr>
              <w:pStyle w:val="10"/>
              <w:widowControl/>
              <w:shd w:val="clear" w:color="auto" w:fill="FFFFFF"/>
              <w:spacing w:before="144" w:line="240" w:lineRule="exact"/>
              <w:rPr>
                <w:rFonts w:ascii="宋体" w:hAnsi="宋体" w:eastAsia="宋体" w:cs="宋体"/>
                <w:color w:val="333333"/>
                <w:sz w:val="21"/>
                <w:szCs w:val="21"/>
                <w:shd w:val="clear" w:color="auto" w:fill="FFFFFF"/>
              </w:rPr>
            </w:pPr>
          </w:p>
        </w:tc>
      </w:tr>
      <w:tr w14:paraId="3F4AB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49" w:hRule="exact"/>
        </w:trPr>
        <w:tc>
          <w:tcPr>
            <w:tcW w:w="807" w:type="dxa"/>
            <w:vAlign w:val="center"/>
          </w:tcPr>
          <w:p w14:paraId="08A208AA">
            <w:pPr>
              <w:ind w:firstLine="0"/>
              <w:jc w:val="center"/>
              <w:rPr>
                <w:rFonts w:ascii="宋体" w:hAnsi="宋体" w:eastAsia="宋体" w:cs="宋体"/>
                <w:b/>
                <w:bCs/>
                <w:sz w:val="18"/>
                <w:szCs w:val="18"/>
              </w:rPr>
            </w:pPr>
          </w:p>
        </w:tc>
        <w:tc>
          <w:tcPr>
            <w:tcW w:w="807" w:type="dxa"/>
            <w:shd w:val="clear" w:color="auto" w:fill="auto"/>
            <w:vAlign w:val="center"/>
          </w:tcPr>
          <w:p w14:paraId="54FC0F6D">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7</w:t>
            </w:r>
          </w:p>
        </w:tc>
        <w:tc>
          <w:tcPr>
            <w:tcW w:w="7180" w:type="dxa"/>
            <w:shd w:val="clear" w:color="auto" w:fill="auto"/>
            <w:vAlign w:val="center"/>
          </w:tcPr>
          <w:p w14:paraId="700D0833">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5、rSO2测量精度：</w:t>
            </w:r>
          </w:p>
          <w:p w14:paraId="6D2727BE">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绝对精度：成人（45-85%范围内为±4% ）；小儿（不予定义）</w:t>
            </w:r>
          </w:p>
          <w:p w14:paraId="2FEA6EDD">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趋势精度：45-85%范围内为±3%；</w:t>
            </w:r>
          </w:p>
        </w:tc>
      </w:tr>
      <w:tr w14:paraId="4E3BA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4" w:hRule="exact"/>
        </w:trPr>
        <w:tc>
          <w:tcPr>
            <w:tcW w:w="807" w:type="dxa"/>
            <w:vAlign w:val="center"/>
          </w:tcPr>
          <w:p w14:paraId="575B2D17">
            <w:pPr>
              <w:ind w:firstLine="0"/>
              <w:jc w:val="center"/>
              <w:rPr>
                <w:rFonts w:ascii="宋体" w:hAnsi="宋体" w:eastAsia="宋体" w:cs="宋体"/>
                <w:b/>
                <w:bCs/>
                <w:sz w:val="18"/>
                <w:szCs w:val="18"/>
              </w:rPr>
            </w:pPr>
          </w:p>
        </w:tc>
        <w:tc>
          <w:tcPr>
            <w:tcW w:w="807" w:type="dxa"/>
            <w:shd w:val="clear" w:color="auto" w:fill="auto"/>
            <w:vAlign w:val="center"/>
          </w:tcPr>
          <w:p w14:paraId="1C44B16A">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8</w:t>
            </w:r>
          </w:p>
        </w:tc>
        <w:tc>
          <w:tcPr>
            <w:tcW w:w="7180" w:type="dxa"/>
            <w:shd w:val="clear" w:color="auto" w:fill="auto"/>
            <w:vAlign w:val="center"/>
          </w:tcPr>
          <w:p w14:paraId="44217BF1">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6、实时参数监测区域支持显示rSO2趋势图，AUC区域在趋势图上以高亮填充方式显示。（仅限在V系列监护仪上使用时支持）；</w:t>
            </w:r>
          </w:p>
        </w:tc>
      </w:tr>
      <w:tr w14:paraId="2F0AA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4" w:hRule="exact"/>
        </w:trPr>
        <w:tc>
          <w:tcPr>
            <w:tcW w:w="807" w:type="dxa"/>
            <w:vAlign w:val="center"/>
          </w:tcPr>
          <w:p w14:paraId="45FF9E1F">
            <w:pPr>
              <w:ind w:firstLine="0"/>
              <w:jc w:val="center"/>
              <w:rPr>
                <w:rFonts w:ascii="宋体" w:hAnsi="宋体" w:eastAsia="宋体" w:cs="宋体"/>
                <w:b/>
                <w:bCs/>
                <w:sz w:val="18"/>
                <w:szCs w:val="18"/>
              </w:rPr>
            </w:pPr>
          </w:p>
        </w:tc>
        <w:tc>
          <w:tcPr>
            <w:tcW w:w="807" w:type="dxa"/>
            <w:shd w:val="clear" w:color="auto" w:fill="auto"/>
            <w:vAlign w:val="center"/>
          </w:tcPr>
          <w:p w14:paraId="49305C24">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9</w:t>
            </w:r>
          </w:p>
        </w:tc>
        <w:tc>
          <w:tcPr>
            <w:tcW w:w="7180" w:type="dxa"/>
            <w:shd w:val="clear" w:color="auto" w:fill="auto"/>
            <w:vAlign w:val="center"/>
          </w:tcPr>
          <w:p w14:paraId="1ECC1A77">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7、支持自动基线功能，当有稳定信号输入后5分钟内没有手动设置基线，将自动保存基线</w:t>
            </w:r>
          </w:p>
        </w:tc>
      </w:tr>
      <w:tr w14:paraId="7EAD0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exact"/>
        </w:trPr>
        <w:tc>
          <w:tcPr>
            <w:tcW w:w="807" w:type="dxa"/>
            <w:vAlign w:val="center"/>
          </w:tcPr>
          <w:p w14:paraId="1A96DBF8">
            <w:pPr>
              <w:ind w:firstLine="0"/>
              <w:jc w:val="center"/>
              <w:rPr>
                <w:rFonts w:ascii="宋体" w:hAnsi="宋体" w:eastAsia="宋体" w:cs="宋体"/>
                <w:b/>
                <w:bCs/>
                <w:sz w:val="18"/>
                <w:szCs w:val="18"/>
              </w:rPr>
            </w:pPr>
          </w:p>
        </w:tc>
        <w:tc>
          <w:tcPr>
            <w:tcW w:w="807" w:type="dxa"/>
            <w:shd w:val="clear" w:color="auto" w:fill="auto"/>
            <w:vAlign w:val="center"/>
          </w:tcPr>
          <w:p w14:paraId="7DF7F2A5">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10</w:t>
            </w:r>
          </w:p>
        </w:tc>
        <w:tc>
          <w:tcPr>
            <w:tcW w:w="7180" w:type="dxa"/>
            <w:shd w:val="clear" w:color="auto" w:fill="auto"/>
            <w:vAlign w:val="center"/>
          </w:tcPr>
          <w:p w14:paraId="7BB8291C">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8、每个监测通道支持灵敏度设置，并提供高、中、低三档设置供用户选择</w:t>
            </w:r>
          </w:p>
        </w:tc>
      </w:tr>
      <w:tr w14:paraId="7566B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exact"/>
        </w:trPr>
        <w:tc>
          <w:tcPr>
            <w:tcW w:w="807" w:type="dxa"/>
            <w:vAlign w:val="center"/>
          </w:tcPr>
          <w:p w14:paraId="2CB15BAB">
            <w:pPr>
              <w:ind w:firstLine="0"/>
              <w:jc w:val="center"/>
              <w:rPr>
                <w:rFonts w:ascii="宋体" w:hAnsi="宋体" w:eastAsia="宋体" w:cs="宋体"/>
                <w:b/>
                <w:bCs/>
                <w:sz w:val="18"/>
                <w:szCs w:val="18"/>
              </w:rPr>
            </w:pPr>
          </w:p>
        </w:tc>
        <w:tc>
          <w:tcPr>
            <w:tcW w:w="807" w:type="dxa"/>
            <w:shd w:val="clear" w:color="auto" w:fill="auto"/>
            <w:vAlign w:val="center"/>
          </w:tcPr>
          <w:p w14:paraId="77FEAE4B">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11</w:t>
            </w:r>
          </w:p>
        </w:tc>
        <w:tc>
          <w:tcPr>
            <w:tcW w:w="7180" w:type="dxa"/>
            <w:shd w:val="clear" w:color="auto" w:fill="auto"/>
            <w:vAlign w:val="center"/>
          </w:tcPr>
          <w:p w14:paraId="3A9BA755">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9、支持使用重复用附件对患者进行rSO2监测，更加经济适用，减少科室使用成本</w:t>
            </w:r>
          </w:p>
        </w:tc>
      </w:tr>
      <w:tr w14:paraId="5A4B0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exact"/>
        </w:trPr>
        <w:tc>
          <w:tcPr>
            <w:tcW w:w="807" w:type="dxa"/>
            <w:vAlign w:val="center"/>
          </w:tcPr>
          <w:p w14:paraId="7F207EBB">
            <w:pPr>
              <w:ind w:firstLine="0"/>
              <w:jc w:val="center"/>
              <w:rPr>
                <w:rFonts w:ascii="宋体" w:hAnsi="宋体" w:eastAsia="宋体" w:cs="宋体"/>
                <w:b/>
                <w:bCs/>
                <w:sz w:val="18"/>
                <w:szCs w:val="18"/>
              </w:rPr>
            </w:pPr>
          </w:p>
        </w:tc>
        <w:tc>
          <w:tcPr>
            <w:tcW w:w="807" w:type="dxa"/>
            <w:shd w:val="clear" w:color="auto" w:fill="auto"/>
            <w:vAlign w:val="center"/>
          </w:tcPr>
          <w:p w14:paraId="282EC4FB">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12</w:t>
            </w:r>
          </w:p>
        </w:tc>
        <w:tc>
          <w:tcPr>
            <w:tcW w:w="7180" w:type="dxa"/>
            <w:shd w:val="clear" w:color="auto" w:fill="auto"/>
            <w:vAlign w:val="center"/>
          </w:tcPr>
          <w:p w14:paraId="5E75F7B4">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10、系统支持自动识别病人类型与附件类型是否匹配，并提示报警，避免附件使用不当造成的测量偏差</w:t>
            </w:r>
          </w:p>
        </w:tc>
      </w:tr>
      <w:tr w14:paraId="28777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exact"/>
        </w:trPr>
        <w:tc>
          <w:tcPr>
            <w:tcW w:w="807" w:type="dxa"/>
            <w:vAlign w:val="center"/>
          </w:tcPr>
          <w:p w14:paraId="0A913561">
            <w:pPr>
              <w:ind w:firstLine="0"/>
              <w:jc w:val="center"/>
              <w:rPr>
                <w:rFonts w:ascii="宋体" w:hAnsi="宋体" w:eastAsia="宋体" w:cs="宋体"/>
                <w:b/>
                <w:bCs/>
                <w:sz w:val="18"/>
                <w:szCs w:val="18"/>
              </w:rPr>
            </w:pPr>
          </w:p>
        </w:tc>
        <w:tc>
          <w:tcPr>
            <w:tcW w:w="807" w:type="dxa"/>
            <w:shd w:val="clear" w:color="auto" w:fill="auto"/>
            <w:vAlign w:val="center"/>
          </w:tcPr>
          <w:p w14:paraId="4256BFEF">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13</w:t>
            </w:r>
          </w:p>
        </w:tc>
        <w:tc>
          <w:tcPr>
            <w:tcW w:w="7180" w:type="dxa"/>
            <w:shd w:val="clear" w:color="auto" w:fill="auto"/>
            <w:vAlign w:val="center"/>
          </w:tcPr>
          <w:p w14:paraId="6A9C354A">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11、具备图形化操作指引，帮助用户快速了解附件的正确安装位置与操作步骤</w:t>
            </w:r>
          </w:p>
        </w:tc>
      </w:tr>
      <w:tr w14:paraId="435AB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42" w:hRule="exact"/>
        </w:trPr>
        <w:tc>
          <w:tcPr>
            <w:tcW w:w="807" w:type="dxa"/>
            <w:vAlign w:val="center"/>
          </w:tcPr>
          <w:p w14:paraId="0595B98B">
            <w:pPr>
              <w:ind w:firstLine="0"/>
              <w:jc w:val="center"/>
              <w:rPr>
                <w:rFonts w:ascii="宋体" w:hAnsi="宋体" w:eastAsia="宋体" w:cs="宋体"/>
                <w:b/>
                <w:bCs/>
                <w:sz w:val="18"/>
                <w:szCs w:val="18"/>
              </w:rPr>
            </w:pPr>
          </w:p>
        </w:tc>
        <w:tc>
          <w:tcPr>
            <w:tcW w:w="807" w:type="dxa"/>
            <w:shd w:val="clear" w:color="auto" w:fill="auto"/>
            <w:vAlign w:val="center"/>
          </w:tcPr>
          <w:p w14:paraId="598B43EF">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14</w:t>
            </w:r>
          </w:p>
        </w:tc>
        <w:tc>
          <w:tcPr>
            <w:tcW w:w="7180" w:type="dxa"/>
            <w:shd w:val="clear" w:color="auto" w:fill="auto"/>
            <w:vAlign w:val="center"/>
          </w:tcPr>
          <w:p w14:paraId="686F341D">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12、可与脑电麻醉深度指数监测联用，支持在一个模块上同时监测脑部组织血氧饱和度和脑电麻醉深度，节约临床模块插槽使用空间</w:t>
            </w:r>
          </w:p>
        </w:tc>
      </w:tr>
      <w:tr w14:paraId="1708C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93" w:hRule="exact"/>
        </w:trPr>
        <w:tc>
          <w:tcPr>
            <w:tcW w:w="807" w:type="dxa"/>
            <w:vAlign w:val="center"/>
          </w:tcPr>
          <w:p w14:paraId="685F45AA">
            <w:pPr>
              <w:ind w:firstLine="0"/>
              <w:jc w:val="center"/>
              <w:rPr>
                <w:rFonts w:ascii="宋体" w:hAnsi="宋体" w:eastAsia="宋体" w:cs="宋体"/>
                <w:b/>
                <w:bCs/>
                <w:sz w:val="21"/>
                <w:szCs w:val="21"/>
              </w:rPr>
            </w:pPr>
          </w:p>
        </w:tc>
        <w:tc>
          <w:tcPr>
            <w:tcW w:w="807" w:type="dxa"/>
            <w:shd w:val="clear" w:color="auto" w:fill="auto"/>
            <w:vAlign w:val="center"/>
          </w:tcPr>
          <w:p w14:paraId="0A126DEE">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15</w:t>
            </w:r>
          </w:p>
        </w:tc>
        <w:tc>
          <w:tcPr>
            <w:tcW w:w="7180" w:type="dxa"/>
            <w:shd w:val="clear" w:color="auto" w:fill="auto"/>
            <w:vAlign w:val="center"/>
          </w:tcPr>
          <w:p w14:paraId="0282F023">
            <w:pPr>
              <w:pStyle w:val="10"/>
              <w:widowControl/>
              <w:shd w:val="clear" w:color="auto" w:fill="FFFFFF"/>
              <w:spacing w:before="144" w:line="240" w:lineRule="exact"/>
              <w:rPr>
                <w:rFonts w:ascii="仿宋" w:hAnsi="仿宋" w:eastAsia="仿宋" w:cs="仿宋"/>
                <w:b/>
                <w:bCs/>
                <w:sz w:val="21"/>
                <w:szCs w:val="21"/>
              </w:rPr>
            </w:pPr>
            <w:r>
              <w:rPr>
                <w:rFonts w:hint="eastAsia" w:asciiTheme="minorEastAsia" w:hAnsiTheme="minorEastAsia" w:eastAsiaTheme="minorEastAsia" w:cstheme="minorEastAsia"/>
                <w:b/>
                <w:bCs/>
                <w:sz w:val="21"/>
                <w:szCs w:val="21"/>
              </w:rPr>
              <w:t>三、配套耗材要求：</w:t>
            </w:r>
          </w:p>
          <w:p w14:paraId="08993139">
            <w:pPr>
              <w:pStyle w:val="10"/>
              <w:widowControl/>
              <w:shd w:val="clear" w:color="auto" w:fill="FFFFFF"/>
              <w:spacing w:before="144" w:line="240" w:lineRule="exact"/>
              <w:rPr>
                <w:rFonts w:ascii="仿宋" w:hAnsi="仿宋" w:eastAsia="仿宋" w:cs="仿宋"/>
                <w:b/>
                <w:bCs/>
                <w:sz w:val="21"/>
                <w:szCs w:val="21"/>
              </w:rPr>
            </w:pPr>
            <w:r>
              <w:rPr>
                <w:rFonts w:hint="eastAsia" w:ascii="宋体" w:hAnsi="宋体" w:eastAsia="宋体" w:cs="宋体"/>
                <w:sz w:val="21"/>
                <w:szCs w:val="21"/>
              </w:rPr>
              <w:t>1、所投设备配套所需的全部耗材（依据相关法规不属于医疗器械管理的除外），均应获得国家药品监督管理局颁发的相应注册证明，且须符合《医疗器械分类目录》规定。投标人需在投标文件中提供下列资料进行响应：医疗器械注册证、不作医疗器械管理证明[体现国食药监械文件号文件或官方出具的分类界定告知书]、不作为医疗器械管理的产品图片[能够看清产品名称、规格型号、生产厂家等关键信息]、医疗器械分类的相关证明</w:t>
            </w:r>
          </w:p>
        </w:tc>
      </w:tr>
      <w:tr w14:paraId="7C6C0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61" w:hRule="exact"/>
        </w:trPr>
        <w:tc>
          <w:tcPr>
            <w:tcW w:w="807" w:type="dxa"/>
            <w:vAlign w:val="center"/>
          </w:tcPr>
          <w:p w14:paraId="55D4E6D4">
            <w:pPr>
              <w:ind w:firstLine="0"/>
              <w:jc w:val="center"/>
              <w:rPr>
                <w:rFonts w:ascii="宋体" w:hAnsi="宋体" w:eastAsia="宋体" w:cs="宋体"/>
                <w:b/>
                <w:bCs/>
                <w:sz w:val="21"/>
                <w:szCs w:val="21"/>
              </w:rPr>
            </w:pPr>
          </w:p>
        </w:tc>
        <w:tc>
          <w:tcPr>
            <w:tcW w:w="807" w:type="dxa"/>
            <w:shd w:val="clear" w:color="auto" w:fill="auto"/>
            <w:vAlign w:val="center"/>
          </w:tcPr>
          <w:p w14:paraId="59914ECD">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16</w:t>
            </w:r>
          </w:p>
        </w:tc>
        <w:tc>
          <w:tcPr>
            <w:tcW w:w="7180" w:type="dxa"/>
            <w:shd w:val="clear" w:color="auto" w:fill="auto"/>
            <w:vAlign w:val="center"/>
          </w:tcPr>
          <w:p w14:paraId="62FAE6FB">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2、投标人所投设备如需配套专用耗材，须在投标文件中完整列明该设备开展检查、治疗项目所需的全部专机专用耗材，明确标注所有产品的型号、规格，以满足医院多样化使用需求。若所投设备无需使用专机专用耗材，除出具相关承诺外，还须提供不少于3个与所投设备适配的耗材品牌，并详细标注产品生产厂家、规格、型号及市场价格。无论专机专用配套耗材还是通用耗材，除依据相关法规不属于医疗器械管理的产品外。若投标人所投设备无需使用任何耗材，须提供对应承诺函。</w:t>
            </w:r>
          </w:p>
          <w:p w14:paraId="7165B5B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针对上述各项承诺，投标人须在投标阶段同步提交由设备生产厂家、耗材生产厂家及投标人分别出具并加盖公章的承诺函，承诺函格式可由投标人自行拟定。投标人需在投标文件中提供报价表、平台截图、承诺函等资料进行响应。</w:t>
            </w:r>
          </w:p>
        </w:tc>
      </w:tr>
      <w:tr w14:paraId="5D40D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5" w:hRule="exact"/>
        </w:trPr>
        <w:tc>
          <w:tcPr>
            <w:tcW w:w="807" w:type="dxa"/>
            <w:vAlign w:val="center"/>
          </w:tcPr>
          <w:p w14:paraId="78B0A5B9">
            <w:pPr>
              <w:ind w:firstLine="0"/>
              <w:jc w:val="center"/>
              <w:rPr>
                <w:rFonts w:ascii="宋体" w:hAnsi="宋体" w:eastAsia="宋体" w:cs="宋体"/>
                <w:sz w:val="21"/>
                <w:szCs w:val="21"/>
              </w:rPr>
            </w:pPr>
          </w:p>
        </w:tc>
        <w:tc>
          <w:tcPr>
            <w:tcW w:w="807" w:type="dxa"/>
            <w:shd w:val="clear" w:color="auto" w:fill="auto"/>
            <w:vAlign w:val="center"/>
          </w:tcPr>
          <w:p w14:paraId="629B5AD3">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17</w:t>
            </w:r>
          </w:p>
        </w:tc>
        <w:tc>
          <w:tcPr>
            <w:tcW w:w="7180" w:type="dxa"/>
            <w:shd w:val="clear" w:color="auto" w:fill="auto"/>
            <w:vAlign w:val="center"/>
          </w:tcPr>
          <w:p w14:paraId="7AEAAAF3">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3、（1）投标人须在投标文件中提供配套耗材的详细报价清单，清单内容包括但不限于：所有必需的耗材名称、生产企业、规格、型号、注册证号、单价、用途、标明是否专机专用。</w:t>
            </w:r>
          </w:p>
        </w:tc>
      </w:tr>
      <w:tr w14:paraId="4E6EA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85" w:hRule="exact"/>
        </w:trPr>
        <w:tc>
          <w:tcPr>
            <w:tcW w:w="807" w:type="dxa"/>
            <w:vAlign w:val="center"/>
          </w:tcPr>
          <w:p w14:paraId="32D4898D">
            <w:pPr>
              <w:ind w:firstLine="0"/>
              <w:jc w:val="center"/>
            </w:pPr>
          </w:p>
        </w:tc>
        <w:tc>
          <w:tcPr>
            <w:tcW w:w="807" w:type="dxa"/>
            <w:shd w:val="clear" w:color="auto" w:fill="auto"/>
            <w:vAlign w:val="center"/>
          </w:tcPr>
          <w:p w14:paraId="568173A9">
            <w:pPr>
              <w:ind w:firstLine="0" w:firstLineChars="0"/>
              <w:jc w:val="center"/>
              <w:rPr>
                <w:rFonts w:ascii="宋体" w:hAnsi="宋体" w:eastAsia="宋体" w:cs="宋体"/>
                <w:b/>
                <w:bCs/>
                <w:kern w:val="2"/>
                <w:sz w:val="18"/>
                <w:szCs w:val="18"/>
                <w:lang w:val="en-US" w:eastAsia="zh-CN" w:bidi="ar-SA"/>
              </w:rPr>
            </w:pPr>
            <w:r>
              <w:rPr>
                <w:rFonts w:hint="eastAsia" w:ascii="宋体" w:hAnsi="宋体" w:eastAsia="宋体" w:cs="宋体"/>
                <w:b/>
                <w:bCs/>
                <w:sz w:val="18"/>
                <w:szCs w:val="18"/>
              </w:rPr>
              <w:t>18</w:t>
            </w:r>
          </w:p>
        </w:tc>
        <w:tc>
          <w:tcPr>
            <w:tcW w:w="7180" w:type="dxa"/>
            <w:shd w:val="clear" w:color="auto" w:fill="auto"/>
            <w:vAlign w:val="center"/>
          </w:tcPr>
          <w:p w14:paraId="1824AA4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3、（2）对于所有检查及治疗项目所需的配套耗材均须单独逐项报价。报价表中应完整列明各项目全流程所需的全部耗材。检查及诊疗所需的核心耗材必须进行单独报价。所申报的单价均不得超过下文所列价格。</w:t>
            </w:r>
          </w:p>
          <w:p w14:paraId="2CBE86B1">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①投标人须承诺所有耗材单价不高于全国各省、市交易平台公布或实际交易的价格，且不高于梅州市最低交易价格。</w:t>
            </w:r>
          </w:p>
          <w:p w14:paraId="271E4683">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②承诺在设备使用期内，若采购人需要采购专机专用配套耗材，中标人应确保产品及时供应，且所供应的价格不得高于此次承诺单价。</w:t>
            </w:r>
          </w:p>
          <w:p w14:paraId="053866BF">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③承诺在设备使用期内，配套耗材价格如遇国家政策导致下调或梅州市其他医院采购价低于采购人执行的价格时，投标人须主动告知采购人并按最低价同步下调价格。</w:t>
            </w:r>
          </w:p>
          <w:p w14:paraId="587CB04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④在设备使用期内，如生产厂家对配套专机专用耗材进行升级或更换规格型号，升级或更换后的产品供应价格应不高于此次投标承诺价格或产品升级前所供应价格。</w:t>
            </w:r>
          </w:p>
          <w:p w14:paraId="63C1609A">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⑤不得限制医院对耗材规格、型号的选择，也不得规定每月、每季度、每年的采购数量。</w:t>
            </w:r>
          </w:p>
          <w:p w14:paraId="75AE312D">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⑥若投标人在投标过程中未完整申报所投设备开展检查、治疗项目所需的全部耗材，包括包装规格及型号等，导致无法满足医院多元化使用需求，后续新增产品的供应价格不得高于本次投标同类产品的承诺价格，亦不得高于新增前同类产品的供应价格，且不得因此增加医院的耗材采购成本。</w:t>
            </w:r>
          </w:p>
          <w:p w14:paraId="0839F523">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⑦若上述产品后续纳入广东省医疗保障局规定的国家医疗保障信息平台药品和医用耗材招标采购管理子系统（以下简称新招采子系统）或政府主管部门规定的其他采购平台目录范围，投标人所承诺的价格均需满足可通过该系统进行采购的要求。</w:t>
            </w:r>
          </w:p>
          <w:p w14:paraId="5C927725">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上述所有承诺，投标人在投标时均需提供耗材生产厂家及投标人的承诺函并加盖公章，格式自行拟定。</w:t>
            </w:r>
          </w:p>
          <w:p w14:paraId="4E86A03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投标人需在投标文件中提供下列资料对上述需求进行响应：报价表、承诺函。</w:t>
            </w:r>
          </w:p>
        </w:tc>
      </w:tr>
      <w:tr w14:paraId="4FCBB9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91" w:hRule="exact"/>
        </w:trPr>
        <w:tc>
          <w:tcPr>
            <w:tcW w:w="807" w:type="dxa"/>
            <w:vAlign w:val="center"/>
          </w:tcPr>
          <w:p w14:paraId="48EDCAF9">
            <w:pPr>
              <w:ind w:firstLine="0"/>
              <w:jc w:val="center"/>
              <w:rPr>
                <w:rFonts w:ascii="宋体" w:hAnsi="宋体" w:eastAsia="宋体" w:cs="宋体"/>
                <w:sz w:val="21"/>
                <w:szCs w:val="21"/>
              </w:rPr>
            </w:pPr>
          </w:p>
        </w:tc>
        <w:tc>
          <w:tcPr>
            <w:tcW w:w="807" w:type="dxa"/>
            <w:shd w:val="clear" w:color="auto" w:fill="auto"/>
            <w:vAlign w:val="center"/>
          </w:tcPr>
          <w:p w14:paraId="0B014F56">
            <w:pPr>
              <w:ind w:firstLine="0" w:firstLineChars="0"/>
              <w:jc w:val="center"/>
              <w:rPr>
                <w:rFonts w:hint="default" w:ascii="宋体" w:hAnsi="宋体" w:eastAsia="宋体" w:cs="宋体"/>
                <w:b/>
                <w:bCs/>
                <w:kern w:val="2"/>
                <w:sz w:val="18"/>
                <w:szCs w:val="18"/>
                <w:lang w:val="en-US" w:eastAsia="zh-CN" w:bidi="ar-SA"/>
              </w:rPr>
            </w:pPr>
            <w:r>
              <w:rPr>
                <w:rFonts w:hint="eastAsia" w:ascii="宋体" w:hAnsi="宋体" w:eastAsia="宋体" w:cs="宋体"/>
                <w:b/>
                <w:bCs/>
                <w:sz w:val="18"/>
                <w:szCs w:val="18"/>
                <w:lang w:val="en-US" w:eastAsia="zh-CN"/>
              </w:rPr>
              <w:t>19</w:t>
            </w:r>
          </w:p>
        </w:tc>
        <w:tc>
          <w:tcPr>
            <w:tcW w:w="7180" w:type="dxa"/>
            <w:shd w:val="clear" w:color="auto" w:fill="auto"/>
            <w:vAlign w:val="center"/>
          </w:tcPr>
          <w:p w14:paraId="50EE18F8">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4、耗材供应保障</w:t>
            </w:r>
          </w:p>
          <w:p w14:paraId="779A5226">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1）在设备使用期间，如出现或耗材供应中断，供应方须提前一个月予以告知，并提出替代方案。替代方案不得增加医院相关成本。若中断供应超过九十天，医院有权自其他渠道进行采购，由此产生的差价由中标方承担。</w:t>
            </w:r>
          </w:p>
          <w:p w14:paraId="0B4BE1E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投标人在投标时，应提供由耗材生产厂家及投标人共同出具的承诺函并加盖公章，承诺函格式可由投标人自行拟定。（佐证材料：承诺函）</w:t>
            </w:r>
          </w:p>
        </w:tc>
      </w:tr>
      <w:tr w14:paraId="19807C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97" w:hRule="exact"/>
        </w:trPr>
        <w:tc>
          <w:tcPr>
            <w:tcW w:w="807" w:type="dxa"/>
            <w:vAlign w:val="center"/>
          </w:tcPr>
          <w:p w14:paraId="53388825">
            <w:pPr>
              <w:ind w:firstLine="0"/>
              <w:jc w:val="center"/>
              <w:rPr>
                <w:rFonts w:ascii="宋体" w:hAnsi="宋体" w:eastAsia="宋体" w:cs="宋体"/>
                <w:sz w:val="21"/>
                <w:szCs w:val="21"/>
              </w:rPr>
            </w:pPr>
          </w:p>
        </w:tc>
        <w:tc>
          <w:tcPr>
            <w:tcW w:w="807" w:type="dxa"/>
            <w:vAlign w:val="center"/>
          </w:tcPr>
          <w:p w14:paraId="17A5F76F">
            <w:pPr>
              <w:ind w:firstLine="0"/>
              <w:jc w:val="center"/>
              <w:rPr>
                <w:rFonts w:hint="default" w:ascii="宋体" w:hAnsi="宋体" w:eastAsia="宋体" w:cs="宋体"/>
                <w:b/>
                <w:bCs/>
                <w:sz w:val="18"/>
                <w:szCs w:val="18"/>
                <w:lang w:val="en-US" w:eastAsia="zh-CN"/>
              </w:rPr>
            </w:pPr>
            <w:r>
              <w:rPr>
                <w:rFonts w:hint="eastAsia" w:ascii="宋体" w:hAnsi="宋体" w:eastAsia="宋体" w:cs="宋体"/>
                <w:b/>
                <w:bCs/>
                <w:sz w:val="18"/>
                <w:szCs w:val="18"/>
                <w:lang w:val="en-US" w:eastAsia="zh-CN"/>
              </w:rPr>
              <w:t>20</w:t>
            </w:r>
          </w:p>
        </w:tc>
        <w:tc>
          <w:tcPr>
            <w:tcW w:w="7180" w:type="dxa"/>
            <w:shd w:val="clear" w:color="auto" w:fill="auto"/>
            <w:vAlign w:val="center"/>
          </w:tcPr>
          <w:p w14:paraId="4049B91E">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、赔偿责任</w:t>
            </w:r>
          </w:p>
          <w:p w14:paraId="225C9C29">
            <w:pPr>
              <w:pStyle w:val="10"/>
              <w:widowControl/>
              <w:shd w:val="clear" w:color="auto" w:fill="FFFFFF"/>
              <w:spacing w:before="144" w:line="240" w:lineRule="exact"/>
              <w:rPr>
                <w:rFonts w:ascii="宋体" w:hAnsi="宋体" w:eastAsia="宋体" w:cs="宋体"/>
                <w:sz w:val="21"/>
                <w:szCs w:val="21"/>
              </w:rPr>
            </w:pPr>
            <w:r>
              <w:rPr>
                <w:rFonts w:hint="eastAsia" w:ascii="宋体" w:hAnsi="宋体" w:eastAsia="宋体" w:cs="宋体"/>
                <w:sz w:val="21"/>
                <w:szCs w:val="21"/>
              </w:rPr>
              <w:t>若中标方在中标后未能履行投标承诺，招标方有权取消其中标资格。中标方须按照投标总价（即设备金额与两年专用耗材金额之和）的两倍进行赔偿，同时招标方保留追究其进一步法律责任的权利。（佐证材料：承诺函）</w:t>
            </w:r>
          </w:p>
        </w:tc>
      </w:tr>
      <w:tr w14:paraId="0B91A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97" w:hRule="exact"/>
        </w:trPr>
        <w:tc>
          <w:tcPr>
            <w:tcW w:w="1614" w:type="dxa"/>
            <w:gridSpan w:val="2"/>
            <w:vAlign w:val="center"/>
          </w:tcPr>
          <w:p w14:paraId="6E39D397">
            <w:pPr>
              <w:ind w:firstLine="0"/>
              <w:jc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说明</w:t>
            </w:r>
          </w:p>
        </w:tc>
        <w:tc>
          <w:tcPr>
            <w:tcW w:w="7180" w:type="dxa"/>
            <w:shd w:val="clear" w:color="auto" w:fill="auto"/>
            <w:vAlign w:val="center"/>
          </w:tcPr>
          <w:p w14:paraId="4A0515D3">
            <w:pPr>
              <w:pStyle w:val="10"/>
              <w:widowControl/>
              <w:shd w:val="clear" w:color="auto" w:fill="FFFFFF"/>
              <w:spacing w:before="144" w:line="240" w:lineRule="exact"/>
              <w:rPr>
                <w:rFonts w:hint="eastAsia" w:ascii="宋体" w:hAnsi="宋体" w:eastAsia="宋体" w:cs="宋体"/>
                <w:sz w:val="21"/>
                <w:szCs w:val="21"/>
              </w:rPr>
            </w:pPr>
            <w:r>
              <w:rPr>
                <w:rFonts w:ascii="宋体" w:hAnsi="宋体" w:eastAsia="宋体" w:cs="宋体"/>
                <w:sz w:val="24"/>
                <w:szCs w:val="24"/>
              </w:rPr>
              <w:t>响应供应商须对本项目的货物及服务进行整体响应，任何只对其中一部分内容进行的响应都被视为无效响应。</w:t>
            </w:r>
          </w:p>
        </w:tc>
      </w:tr>
    </w:tbl>
    <w:p w14:paraId="3B4258EE">
      <w:pPr>
        <w:pStyle w:val="15"/>
        <w:ind w:left="0" w:leftChars="0" w:firstLine="0" w:firstLineChars="0"/>
        <w:rPr>
          <w:rFonts w:hint="eastAsia" w:ascii="方正小标宋简体" w:eastAsia="方正小标宋简体"/>
          <w:sz w:val="44"/>
          <w:szCs w:val="44"/>
        </w:rPr>
      </w:pPr>
    </w:p>
    <w:p w14:paraId="413094B1">
      <w:pPr>
        <w:pStyle w:val="15"/>
        <w:ind w:left="0" w:leftChars="0" w:firstLine="0" w:firstLineChars="0"/>
        <w:rPr>
          <w:rFonts w:hint="eastAsia" w:ascii="方正小标宋简体" w:eastAsia="方正小标宋简体"/>
          <w:sz w:val="44"/>
          <w:szCs w:val="44"/>
        </w:rPr>
      </w:pPr>
    </w:p>
    <w:p w14:paraId="68435C93">
      <w:pPr>
        <w:pStyle w:val="15"/>
        <w:ind w:left="0" w:leftChars="0" w:firstLine="0" w:firstLineChars="0"/>
        <w:rPr>
          <w:rFonts w:hint="eastAsia" w:ascii="方正小标宋简体" w:eastAsia="方正小标宋简体"/>
          <w:sz w:val="44"/>
          <w:szCs w:val="44"/>
        </w:rPr>
      </w:pPr>
    </w:p>
    <w:p w14:paraId="3996D5BB">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p w14:paraId="4F88801B">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r>
        <w:rPr>
          <w:rFonts w:hint="eastAsia" w:ascii="仿宋" w:hAnsi="仿宋" w:eastAsia="仿宋"/>
          <w:sz w:val="28"/>
          <w:szCs w:val="28"/>
        </w:rPr>
        <w:t>评标方法：最低评标价法：投标报价=供应商的设备金额+两年内的专机专用耗材金额(有多个产品的需分别列明，如同一类检测试剂、耗材有多个报价时取最高报价计算得分），两年内的专机专用耗材预估使用量为480例。上述耗材预估使用量仅为本项目评审价格计算用，并非采购人耗材使用量的承诺，请投标人充分评估潜在风险。若投标人不对耗材进行报价，采购人有权视为投标人对本项目报价响应缺漏，将导致投标无效。</w:t>
      </w: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2A2ABD"/>
    <w:rsid w:val="0349745F"/>
    <w:rsid w:val="034D1CC8"/>
    <w:rsid w:val="039842CF"/>
    <w:rsid w:val="039B0D7D"/>
    <w:rsid w:val="03CF104D"/>
    <w:rsid w:val="03D567D9"/>
    <w:rsid w:val="03F363F6"/>
    <w:rsid w:val="045C354F"/>
    <w:rsid w:val="047E5D41"/>
    <w:rsid w:val="04842AA6"/>
    <w:rsid w:val="04846DD5"/>
    <w:rsid w:val="04B8641E"/>
    <w:rsid w:val="04CA3B18"/>
    <w:rsid w:val="052778F4"/>
    <w:rsid w:val="052F1387"/>
    <w:rsid w:val="05500BDA"/>
    <w:rsid w:val="05DB04A3"/>
    <w:rsid w:val="05F509D2"/>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BD5E72"/>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5F09C4"/>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01BB9"/>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6B06CF"/>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324395"/>
    <w:rsid w:val="20FC6855"/>
    <w:rsid w:val="21380790"/>
    <w:rsid w:val="217113DA"/>
    <w:rsid w:val="21795977"/>
    <w:rsid w:val="21844BB5"/>
    <w:rsid w:val="21977500"/>
    <w:rsid w:val="21A67B84"/>
    <w:rsid w:val="21FA6DF4"/>
    <w:rsid w:val="21FC7871"/>
    <w:rsid w:val="2210130D"/>
    <w:rsid w:val="22950817"/>
    <w:rsid w:val="22B8599C"/>
    <w:rsid w:val="22BD491D"/>
    <w:rsid w:val="22C84412"/>
    <w:rsid w:val="23114793"/>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797975"/>
    <w:rsid w:val="298F67ED"/>
    <w:rsid w:val="29B03871"/>
    <w:rsid w:val="29E85DEA"/>
    <w:rsid w:val="2A56543D"/>
    <w:rsid w:val="2A737E44"/>
    <w:rsid w:val="2ABB7B25"/>
    <w:rsid w:val="2B0A5828"/>
    <w:rsid w:val="2B547350"/>
    <w:rsid w:val="2B7D771F"/>
    <w:rsid w:val="2BDC5B80"/>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2B5A14"/>
    <w:rsid w:val="382D4AFA"/>
    <w:rsid w:val="38360444"/>
    <w:rsid w:val="386332C5"/>
    <w:rsid w:val="387B0309"/>
    <w:rsid w:val="38A62FFD"/>
    <w:rsid w:val="39162FC5"/>
    <w:rsid w:val="3946701A"/>
    <w:rsid w:val="3951617D"/>
    <w:rsid w:val="3965233F"/>
    <w:rsid w:val="397A17A6"/>
    <w:rsid w:val="398805E1"/>
    <w:rsid w:val="399D78C9"/>
    <w:rsid w:val="39B822CE"/>
    <w:rsid w:val="39C443D2"/>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BB70085"/>
    <w:rsid w:val="3C23409E"/>
    <w:rsid w:val="3C4B2A92"/>
    <w:rsid w:val="3C8446EA"/>
    <w:rsid w:val="3C907271"/>
    <w:rsid w:val="3CCB2319"/>
    <w:rsid w:val="3DA171BA"/>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562725"/>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EF82AAA"/>
    <w:rsid w:val="4F684387"/>
    <w:rsid w:val="4F9F2130"/>
    <w:rsid w:val="4FEB01C7"/>
    <w:rsid w:val="500A342C"/>
    <w:rsid w:val="50106568"/>
    <w:rsid w:val="50324731"/>
    <w:rsid w:val="507C775A"/>
    <w:rsid w:val="510065DD"/>
    <w:rsid w:val="512B7CD4"/>
    <w:rsid w:val="514905B5"/>
    <w:rsid w:val="51853F75"/>
    <w:rsid w:val="518B020A"/>
    <w:rsid w:val="51A84704"/>
    <w:rsid w:val="51C42211"/>
    <w:rsid w:val="51D341D6"/>
    <w:rsid w:val="51D743B8"/>
    <w:rsid w:val="522A757C"/>
    <w:rsid w:val="52650ECC"/>
    <w:rsid w:val="52724AB1"/>
    <w:rsid w:val="5360246E"/>
    <w:rsid w:val="538C4FF4"/>
    <w:rsid w:val="538D3CAA"/>
    <w:rsid w:val="53AC4C18"/>
    <w:rsid w:val="53D25467"/>
    <w:rsid w:val="545C0256"/>
    <w:rsid w:val="54A92AE8"/>
    <w:rsid w:val="553D1BAE"/>
    <w:rsid w:val="554738F5"/>
    <w:rsid w:val="55BC2D3B"/>
    <w:rsid w:val="55D65B5E"/>
    <w:rsid w:val="55D71E8C"/>
    <w:rsid w:val="561D2654"/>
    <w:rsid w:val="56580702"/>
    <w:rsid w:val="568E6439"/>
    <w:rsid w:val="56C65BD3"/>
    <w:rsid w:val="56F85B30"/>
    <w:rsid w:val="570F2729"/>
    <w:rsid w:val="573B31D8"/>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626DAD"/>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D53C62"/>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60D33"/>
    <w:rsid w:val="71794B59"/>
    <w:rsid w:val="71855AEF"/>
    <w:rsid w:val="719D47F2"/>
    <w:rsid w:val="71E02949"/>
    <w:rsid w:val="723E0A6C"/>
    <w:rsid w:val="723E572B"/>
    <w:rsid w:val="729329B5"/>
    <w:rsid w:val="72D44160"/>
    <w:rsid w:val="72FD0776"/>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3051CE"/>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 w:val="7FDB73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2">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3">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2"/>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3"/>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5441</Words>
  <Characters>5579</Characters>
  <Lines>40</Lines>
  <Paragraphs>11</Paragraphs>
  <TotalTime>0</TotalTime>
  <ScaleCrop>false</ScaleCrop>
  <LinksUpToDate>false</LinksUpToDate>
  <CharactersWithSpaces>5606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Administrator</cp:lastModifiedBy>
  <cp:lastPrinted>2025-10-27T10:12:00Z</cp:lastPrinted>
  <dcterms:modified xsi:type="dcterms:W3CDTF">2026-08-18T06:44:22Z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