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8100F">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附件</w:t>
      </w:r>
      <w:r>
        <w:rPr>
          <w:rFonts w:hint="eastAsia" w:ascii="黑体" w:hAnsi="黑体" w:eastAsia="黑体" w:cs="黑体"/>
          <w:b w:val="0"/>
          <w:bCs w:val="0"/>
          <w:sz w:val="28"/>
          <w:szCs w:val="28"/>
        </w:rPr>
        <w:t>：</w:t>
      </w:r>
    </w:p>
    <w:p w14:paraId="2ACD125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仿宋_GB2312" w:hAnsi="仿宋_GB2312" w:cs="仿宋_GB2312"/>
          <w:b/>
          <w:bCs/>
          <w:sz w:val="44"/>
          <w:szCs w:val="44"/>
        </w:rPr>
      </w:pPr>
      <w:r>
        <w:rPr>
          <w:rFonts w:hint="eastAsia" w:ascii="仿宋_GB2312" w:hAnsi="仿宋_GB2312" w:cs="仿宋_GB2312"/>
          <w:b/>
          <w:bCs/>
          <w:sz w:val="44"/>
          <w:szCs w:val="44"/>
        </w:rPr>
        <w:t>双能X射线骨密度仪参数配置要求</w:t>
      </w:r>
    </w:p>
    <w:tbl>
      <w:tblPr>
        <w:tblStyle w:val="11"/>
        <w:tblpPr w:leftFromText="180" w:rightFromText="180" w:vertAnchor="text" w:horzAnchor="page" w:tblpX="1486" w:tblpY="360"/>
        <w:tblOverlap w:val="never"/>
        <w:tblW w:w="91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69"/>
        <w:gridCol w:w="641"/>
        <w:gridCol w:w="7728"/>
      </w:tblGrid>
      <w:tr w14:paraId="1330B7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769" w:type="dxa"/>
            <w:vAlign w:val="center"/>
          </w:tcPr>
          <w:p w14:paraId="11651379">
            <w:pPr>
              <w:pStyle w:val="30"/>
              <w:spacing w:line="400" w:lineRule="exact"/>
              <w:jc w:val="center"/>
              <w:rPr>
                <w:rFonts w:ascii="仿宋" w:eastAsia="仿宋" w:cs="仿宋"/>
                <w:sz w:val="24"/>
                <w:szCs w:val="24"/>
              </w:rPr>
            </w:pPr>
            <w:r>
              <w:rPr>
                <w:rFonts w:ascii="仿宋" w:eastAsia="仿宋" w:cs="仿宋"/>
                <w:sz w:val="24"/>
                <w:szCs w:val="24"/>
              </w:rPr>
              <w:t>参数性质</w:t>
            </w:r>
          </w:p>
        </w:tc>
        <w:tc>
          <w:tcPr>
            <w:tcW w:w="641" w:type="dxa"/>
            <w:vAlign w:val="center"/>
          </w:tcPr>
          <w:p w14:paraId="192CB93F">
            <w:pPr>
              <w:pStyle w:val="30"/>
              <w:spacing w:line="400" w:lineRule="exact"/>
              <w:jc w:val="center"/>
              <w:rPr>
                <w:rFonts w:ascii="仿宋" w:eastAsia="仿宋" w:cs="仿宋"/>
                <w:sz w:val="24"/>
                <w:szCs w:val="24"/>
              </w:rPr>
            </w:pPr>
            <w:r>
              <w:rPr>
                <w:rFonts w:ascii="仿宋" w:eastAsia="仿宋" w:cs="仿宋"/>
                <w:sz w:val="24"/>
                <w:szCs w:val="24"/>
              </w:rPr>
              <w:t>序号</w:t>
            </w:r>
          </w:p>
        </w:tc>
        <w:tc>
          <w:tcPr>
            <w:tcW w:w="7728" w:type="dxa"/>
          </w:tcPr>
          <w:p w14:paraId="7DC592F4">
            <w:pPr>
              <w:pStyle w:val="30"/>
              <w:spacing w:line="400" w:lineRule="exact"/>
              <w:rPr>
                <w:rFonts w:ascii="仿宋" w:eastAsia="仿宋" w:cs="仿宋"/>
                <w:sz w:val="24"/>
                <w:szCs w:val="24"/>
              </w:rPr>
            </w:pPr>
            <w:r>
              <w:rPr>
                <w:rFonts w:ascii="仿宋" w:eastAsia="仿宋" w:cs="仿宋"/>
                <w:sz w:val="24"/>
                <w:szCs w:val="24"/>
              </w:rPr>
              <w:t>具体技术(参数)要求</w:t>
            </w:r>
          </w:p>
        </w:tc>
      </w:tr>
      <w:tr w14:paraId="24B745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89" w:hRule="atLeast"/>
        </w:trPr>
        <w:tc>
          <w:tcPr>
            <w:tcW w:w="769" w:type="dxa"/>
            <w:vAlign w:val="center"/>
          </w:tcPr>
          <w:p w14:paraId="64224ADF">
            <w:pPr>
              <w:widowControl/>
              <w:spacing w:line="400" w:lineRule="exact"/>
              <w:ind w:left="0" w:leftChars="0" w:firstLine="0" w:firstLineChars="0"/>
              <w:jc w:val="center"/>
              <w:rPr>
                <w:rFonts w:ascii="仿宋" w:eastAsia="仿宋" w:cs="仿宋"/>
                <w:sz w:val="24"/>
              </w:rPr>
            </w:pPr>
            <w:r>
              <w:rPr>
                <w:rFonts w:hint="eastAsia" w:ascii="仿宋" w:eastAsia="仿宋" w:cs="仿宋"/>
                <w:sz w:val="24"/>
              </w:rPr>
              <w:t>★</w:t>
            </w:r>
          </w:p>
        </w:tc>
        <w:tc>
          <w:tcPr>
            <w:tcW w:w="641" w:type="dxa"/>
            <w:vAlign w:val="center"/>
          </w:tcPr>
          <w:p w14:paraId="4F562FC9">
            <w:pPr>
              <w:pStyle w:val="30"/>
              <w:numPr>
                <w:ilvl w:val="0"/>
                <w:numId w:val="1"/>
              </w:numPr>
              <w:spacing w:line="400" w:lineRule="exact"/>
              <w:jc w:val="center"/>
              <w:rPr>
                <w:rFonts w:ascii="仿宋" w:eastAsia="仿宋" w:cs="仿宋"/>
                <w:sz w:val="24"/>
                <w:szCs w:val="24"/>
              </w:rPr>
            </w:pPr>
          </w:p>
        </w:tc>
        <w:tc>
          <w:tcPr>
            <w:tcW w:w="7728" w:type="dxa"/>
            <w:vAlign w:val="center"/>
          </w:tcPr>
          <w:p w14:paraId="162F1241">
            <w:pPr>
              <w:pStyle w:val="30"/>
              <w:spacing w:line="400" w:lineRule="exact"/>
              <w:rPr>
                <w:rFonts w:ascii="仿宋" w:eastAsia="仿宋" w:cs="仿宋"/>
                <w:b/>
                <w:bCs/>
                <w:sz w:val="24"/>
                <w:szCs w:val="24"/>
                <w:lang w:eastAsia="zh-CN"/>
              </w:rPr>
            </w:pPr>
            <w:r>
              <w:rPr>
                <w:rFonts w:ascii="仿宋" w:eastAsia="仿宋" w:cs="仿宋"/>
                <w:b/>
                <w:bCs/>
                <w:sz w:val="24"/>
                <w:szCs w:val="24"/>
                <w:lang w:eastAsia="zh-CN"/>
              </w:rPr>
              <w:t>一、总体要求：</w:t>
            </w:r>
          </w:p>
          <w:p w14:paraId="51ABDD54">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1.1 </w:t>
            </w:r>
            <w:r>
              <w:rPr>
                <w:rFonts w:hint="eastAsia" w:ascii="仿宋" w:eastAsia="仿宋" w:cs="仿宋"/>
                <w:sz w:val="24"/>
                <w:szCs w:val="24"/>
                <w:lang w:eastAsia="zh-CN"/>
              </w:rPr>
              <w:t>所投的产品须具有中华人民共和国医疗器械注册证并在有效期内，投标时提供医疗器械注册证复印件。</w:t>
            </w:r>
          </w:p>
        </w:tc>
      </w:tr>
      <w:tr w14:paraId="61BC38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8" w:hRule="atLeast"/>
        </w:trPr>
        <w:tc>
          <w:tcPr>
            <w:tcW w:w="769" w:type="dxa"/>
            <w:vAlign w:val="center"/>
          </w:tcPr>
          <w:p w14:paraId="3213DBDC">
            <w:pPr>
              <w:widowControl/>
              <w:spacing w:line="400" w:lineRule="exact"/>
              <w:ind w:left="0" w:leftChars="0" w:firstLine="0" w:firstLineChars="0"/>
              <w:jc w:val="center"/>
              <w:rPr>
                <w:rFonts w:hint="eastAsia" w:ascii="仿宋" w:eastAsia="仿宋" w:cs="仿宋"/>
                <w:sz w:val="24"/>
              </w:rPr>
            </w:pPr>
          </w:p>
        </w:tc>
        <w:tc>
          <w:tcPr>
            <w:tcW w:w="641" w:type="dxa"/>
            <w:vAlign w:val="center"/>
          </w:tcPr>
          <w:p w14:paraId="29B9F6D7">
            <w:pPr>
              <w:pStyle w:val="30"/>
              <w:numPr>
                <w:ilvl w:val="0"/>
                <w:numId w:val="1"/>
              </w:numPr>
              <w:spacing w:line="400" w:lineRule="exact"/>
              <w:jc w:val="center"/>
              <w:rPr>
                <w:rFonts w:ascii="仿宋" w:eastAsia="仿宋" w:cs="仿宋"/>
                <w:sz w:val="24"/>
                <w:szCs w:val="24"/>
              </w:rPr>
            </w:pPr>
          </w:p>
        </w:tc>
        <w:tc>
          <w:tcPr>
            <w:tcW w:w="7728" w:type="dxa"/>
            <w:vAlign w:val="center"/>
          </w:tcPr>
          <w:p w14:paraId="4D1018CB">
            <w:pPr>
              <w:pStyle w:val="30"/>
              <w:spacing w:line="400" w:lineRule="exact"/>
              <w:rPr>
                <w:rFonts w:ascii="仿宋" w:eastAsia="仿宋" w:cs="仿宋"/>
                <w:sz w:val="24"/>
                <w:szCs w:val="24"/>
                <w:lang w:val="en-US" w:eastAsia="zh-CN"/>
              </w:rPr>
            </w:pPr>
            <w:r>
              <w:rPr>
                <w:rFonts w:hint="eastAsia" w:ascii="仿宋" w:eastAsia="仿宋" w:cs="仿宋"/>
                <w:sz w:val="24"/>
                <w:szCs w:val="24"/>
                <w:lang w:val="en-US" w:eastAsia="zh-CN"/>
              </w:rPr>
              <w:t>1.2 适用范围：</w:t>
            </w:r>
            <w:r>
              <w:rPr>
                <w:rFonts w:hint="eastAsia" w:ascii="仿宋" w:eastAsia="仿宋" w:cs="仿宋"/>
                <w:color w:val="000000"/>
                <w:sz w:val="24"/>
                <w:szCs w:val="24"/>
                <w:lang w:val="en-US" w:eastAsia="zh-CN"/>
              </w:rPr>
              <w:t>支持0-100岁全年龄段</w:t>
            </w:r>
            <w:r>
              <w:rPr>
                <w:rFonts w:hint="eastAsia" w:ascii="仿宋" w:eastAsia="仿宋" w:cs="仿宋"/>
                <w:sz w:val="24"/>
                <w:szCs w:val="24"/>
                <w:lang w:val="en-US" w:eastAsia="zh-CN"/>
              </w:rPr>
              <w:t>前臂式双能X线骨密度测定</w:t>
            </w:r>
          </w:p>
        </w:tc>
      </w:tr>
      <w:tr w14:paraId="17D679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3" w:hRule="atLeast"/>
        </w:trPr>
        <w:tc>
          <w:tcPr>
            <w:tcW w:w="769" w:type="dxa"/>
            <w:vAlign w:val="center"/>
          </w:tcPr>
          <w:p w14:paraId="2B81F630">
            <w:pPr>
              <w:widowControl/>
              <w:spacing w:line="400" w:lineRule="exact"/>
              <w:ind w:left="0" w:leftChars="0" w:firstLine="0" w:firstLineChars="0"/>
              <w:jc w:val="center"/>
              <w:rPr>
                <w:rFonts w:ascii="仿宋" w:eastAsia="仿宋" w:cs="仿宋"/>
                <w:sz w:val="24"/>
              </w:rPr>
            </w:pPr>
          </w:p>
        </w:tc>
        <w:tc>
          <w:tcPr>
            <w:tcW w:w="641" w:type="dxa"/>
            <w:vAlign w:val="center"/>
          </w:tcPr>
          <w:p w14:paraId="2A2520E4">
            <w:pPr>
              <w:pStyle w:val="30"/>
              <w:numPr>
                <w:ilvl w:val="0"/>
                <w:numId w:val="1"/>
              </w:numPr>
              <w:spacing w:line="400" w:lineRule="exact"/>
              <w:jc w:val="center"/>
              <w:rPr>
                <w:rFonts w:ascii="仿宋" w:eastAsia="仿宋" w:cs="仿宋"/>
                <w:sz w:val="24"/>
                <w:szCs w:val="24"/>
              </w:rPr>
            </w:pPr>
          </w:p>
        </w:tc>
        <w:tc>
          <w:tcPr>
            <w:tcW w:w="7728" w:type="dxa"/>
            <w:vAlign w:val="center"/>
          </w:tcPr>
          <w:p w14:paraId="2B7C973E">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1.3 </w:t>
            </w:r>
            <w:r>
              <w:rPr>
                <w:rFonts w:ascii="仿宋" w:eastAsia="仿宋" w:cs="仿宋"/>
                <w:sz w:val="24"/>
                <w:szCs w:val="24"/>
                <w:lang w:eastAsia="zh-CN"/>
              </w:rPr>
              <w:t>设备主要功能、用途：</w:t>
            </w:r>
            <w:r>
              <w:rPr>
                <w:rFonts w:hint="eastAsia" w:ascii="仿宋" w:eastAsia="仿宋" w:cs="仿宋"/>
                <w:sz w:val="24"/>
                <w:szCs w:val="24"/>
                <w:lang w:eastAsia="zh-CN"/>
              </w:rPr>
              <w:t>满足体检中心大批量检测、下乡义诊、病房床边检测使用。</w:t>
            </w:r>
          </w:p>
        </w:tc>
      </w:tr>
      <w:tr w14:paraId="3670D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95" w:hRule="atLeast"/>
        </w:trPr>
        <w:tc>
          <w:tcPr>
            <w:tcW w:w="769" w:type="dxa"/>
            <w:vAlign w:val="center"/>
          </w:tcPr>
          <w:p w14:paraId="249A37E1">
            <w:pPr>
              <w:widowControl/>
              <w:spacing w:line="400" w:lineRule="exact"/>
              <w:ind w:left="0" w:leftChars="0" w:firstLine="0" w:firstLineChars="0"/>
              <w:jc w:val="center"/>
              <w:rPr>
                <w:rFonts w:ascii="仿宋" w:eastAsia="仿宋" w:cs="仿宋"/>
                <w:sz w:val="24"/>
              </w:rPr>
            </w:pPr>
            <w:r>
              <w:rPr>
                <w:rFonts w:hint="eastAsia" w:ascii="仿宋" w:eastAsia="仿宋" w:cs="仿宋"/>
                <w:sz w:val="24"/>
              </w:rPr>
              <w:t>★</w:t>
            </w:r>
          </w:p>
        </w:tc>
        <w:tc>
          <w:tcPr>
            <w:tcW w:w="641" w:type="dxa"/>
            <w:vAlign w:val="center"/>
          </w:tcPr>
          <w:p w14:paraId="1DD23560">
            <w:pPr>
              <w:pStyle w:val="30"/>
              <w:numPr>
                <w:ilvl w:val="0"/>
                <w:numId w:val="1"/>
              </w:numPr>
              <w:spacing w:line="400" w:lineRule="exact"/>
              <w:jc w:val="center"/>
              <w:rPr>
                <w:rFonts w:ascii="仿宋" w:eastAsia="仿宋" w:cs="仿宋"/>
                <w:sz w:val="24"/>
                <w:szCs w:val="24"/>
              </w:rPr>
            </w:pPr>
          </w:p>
        </w:tc>
        <w:tc>
          <w:tcPr>
            <w:tcW w:w="7728" w:type="dxa"/>
            <w:vAlign w:val="center"/>
          </w:tcPr>
          <w:p w14:paraId="1A1D8EAA">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1.4 </w:t>
            </w:r>
            <w:r>
              <w:rPr>
                <w:rFonts w:ascii="仿宋" w:eastAsia="仿宋" w:cs="仿宋"/>
                <w:sz w:val="24"/>
                <w:szCs w:val="24"/>
                <w:lang w:eastAsia="zh-CN"/>
              </w:rPr>
              <w:t>保修期</w:t>
            </w:r>
            <w:r>
              <w:rPr>
                <w:rFonts w:hint="eastAsia" w:ascii="仿宋" w:eastAsia="仿宋" w:cs="仿宋"/>
                <w:sz w:val="24"/>
                <w:szCs w:val="24"/>
                <w:lang w:eastAsia="zh-CN"/>
              </w:rPr>
              <w:t>：整机≥</w:t>
            </w:r>
            <w:r>
              <w:rPr>
                <w:rFonts w:hint="eastAsia" w:ascii="仿宋" w:eastAsia="仿宋" w:cs="仿宋"/>
                <w:sz w:val="24"/>
                <w:szCs w:val="24"/>
                <w:lang w:val="en-US" w:eastAsia="zh-CN"/>
              </w:rPr>
              <w:t>3</w:t>
            </w:r>
            <w:r>
              <w:rPr>
                <w:rFonts w:hint="eastAsia" w:ascii="仿宋" w:eastAsia="仿宋" w:cs="仿宋"/>
                <w:sz w:val="24"/>
                <w:szCs w:val="24"/>
                <w:lang w:eastAsia="zh-CN"/>
              </w:rPr>
              <w:t>年(包含一切附属配件)，所有费用包含在投标报价中。</w:t>
            </w:r>
          </w:p>
        </w:tc>
      </w:tr>
      <w:tr w14:paraId="643AD3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02" w:hRule="atLeast"/>
        </w:trPr>
        <w:tc>
          <w:tcPr>
            <w:tcW w:w="769" w:type="dxa"/>
            <w:vAlign w:val="center"/>
          </w:tcPr>
          <w:p w14:paraId="19EDD3F8">
            <w:pPr>
              <w:widowControl/>
              <w:spacing w:line="400" w:lineRule="exact"/>
              <w:ind w:left="0" w:leftChars="0" w:firstLine="0" w:firstLineChars="0"/>
              <w:jc w:val="center"/>
              <w:rPr>
                <w:rFonts w:ascii="仿宋" w:eastAsia="仿宋" w:cs="仿宋"/>
                <w:sz w:val="24"/>
              </w:rPr>
            </w:pPr>
            <w:r>
              <w:rPr>
                <w:rFonts w:ascii="仿宋" w:eastAsia="仿宋" w:cs="仿宋"/>
                <w:sz w:val="24"/>
                <w:szCs w:val="24"/>
              </w:rPr>
              <w:t>▲</w:t>
            </w:r>
          </w:p>
        </w:tc>
        <w:tc>
          <w:tcPr>
            <w:tcW w:w="641" w:type="dxa"/>
            <w:vAlign w:val="center"/>
          </w:tcPr>
          <w:p w14:paraId="3047F322">
            <w:pPr>
              <w:pStyle w:val="30"/>
              <w:numPr>
                <w:ilvl w:val="0"/>
                <w:numId w:val="1"/>
              </w:numPr>
              <w:spacing w:line="400" w:lineRule="exact"/>
              <w:jc w:val="center"/>
              <w:rPr>
                <w:rFonts w:ascii="仿宋" w:eastAsia="仿宋" w:cs="仿宋"/>
                <w:sz w:val="24"/>
                <w:szCs w:val="24"/>
              </w:rPr>
            </w:pPr>
          </w:p>
        </w:tc>
        <w:tc>
          <w:tcPr>
            <w:tcW w:w="7728" w:type="dxa"/>
            <w:vAlign w:val="center"/>
          </w:tcPr>
          <w:p w14:paraId="583B6D61">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1.5 </w:t>
            </w:r>
            <w:r>
              <w:rPr>
                <w:rFonts w:ascii="仿宋" w:eastAsia="仿宋" w:cs="仿宋"/>
                <w:sz w:val="24"/>
                <w:szCs w:val="24"/>
                <w:lang w:eastAsia="zh-CN"/>
              </w:rPr>
              <w:t>设备主机使用年限≥</w:t>
            </w:r>
            <w:r>
              <w:rPr>
                <w:rFonts w:hint="eastAsia" w:ascii="仿宋" w:eastAsia="仿宋" w:cs="仿宋"/>
                <w:sz w:val="24"/>
                <w:szCs w:val="24"/>
                <w:u w:val="none"/>
                <w:lang w:val="en-US" w:eastAsia="zh-CN"/>
              </w:rPr>
              <w:t>10</w:t>
            </w:r>
            <w:r>
              <w:rPr>
                <w:rFonts w:ascii="仿宋" w:eastAsia="仿宋" w:cs="仿宋"/>
                <w:sz w:val="24"/>
                <w:szCs w:val="24"/>
                <w:lang w:eastAsia="zh-CN"/>
              </w:rPr>
              <w:t>年，（提供同型号产品铭牌/标签或使用说明书等证明）</w:t>
            </w:r>
            <w:r>
              <w:rPr>
                <w:rFonts w:hint="eastAsia" w:ascii="仿宋" w:eastAsia="仿宋" w:cs="仿宋"/>
                <w:sz w:val="24"/>
                <w:szCs w:val="24"/>
                <w:lang w:eastAsia="zh-CN"/>
              </w:rPr>
              <w:t>；</w:t>
            </w:r>
          </w:p>
        </w:tc>
      </w:tr>
      <w:tr w14:paraId="5AF03D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8" w:hRule="atLeast"/>
        </w:trPr>
        <w:tc>
          <w:tcPr>
            <w:tcW w:w="769" w:type="dxa"/>
            <w:vAlign w:val="center"/>
          </w:tcPr>
          <w:p w14:paraId="63023B76">
            <w:pPr>
              <w:widowControl/>
              <w:spacing w:line="400" w:lineRule="exact"/>
              <w:ind w:left="0" w:leftChars="0" w:firstLine="0" w:firstLineChars="0"/>
              <w:jc w:val="center"/>
              <w:rPr>
                <w:rFonts w:ascii="仿宋" w:eastAsia="仿宋" w:cs="仿宋"/>
                <w:sz w:val="24"/>
              </w:rPr>
            </w:pPr>
            <w:r>
              <w:rPr>
                <w:rFonts w:hint="eastAsia" w:ascii="仿宋" w:eastAsia="仿宋" w:cs="仿宋"/>
                <w:sz w:val="24"/>
              </w:rPr>
              <w:t>★</w:t>
            </w:r>
          </w:p>
        </w:tc>
        <w:tc>
          <w:tcPr>
            <w:tcW w:w="641" w:type="dxa"/>
            <w:vAlign w:val="center"/>
          </w:tcPr>
          <w:p w14:paraId="3C7154E9">
            <w:pPr>
              <w:pStyle w:val="30"/>
              <w:numPr>
                <w:ilvl w:val="0"/>
                <w:numId w:val="1"/>
              </w:numPr>
              <w:spacing w:line="400" w:lineRule="exact"/>
              <w:jc w:val="center"/>
              <w:rPr>
                <w:rFonts w:ascii="仿宋" w:eastAsia="仿宋" w:cs="仿宋"/>
                <w:sz w:val="24"/>
                <w:szCs w:val="24"/>
              </w:rPr>
            </w:pPr>
          </w:p>
        </w:tc>
        <w:tc>
          <w:tcPr>
            <w:tcW w:w="7728" w:type="dxa"/>
            <w:vAlign w:val="center"/>
          </w:tcPr>
          <w:p w14:paraId="649866D8">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1.6 </w:t>
            </w:r>
            <w:r>
              <w:rPr>
                <w:rFonts w:ascii="仿宋" w:eastAsia="仿宋" w:cs="仿宋"/>
                <w:sz w:val="24"/>
                <w:szCs w:val="24"/>
                <w:lang w:eastAsia="zh-CN"/>
              </w:rPr>
              <w:t>所投设备为</w:t>
            </w:r>
            <w:r>
              <w:rPr>
                <w:rFonts w:hint="eastAsia" w:ascii="仿宋" w:eastAsia="仿宋" w:cs="仿宋"/>
                <w:sz w:val="24"/>
                <w:szCs w:val="24"/>
                <w:lang w:eastAsia="zh-CN"/>
              </w:rPr>
              <w:t>非翻新、</w:t>
            </w:r>
            <w:r>
              <w:rPr>
                <w:rFonts w:ascii="仿宋" w:eastAsia="仿宋" w:cs="仿宋"/>
                <w:sz w:val="24"/>
                <w:szCs w:val="24"/>
                <w:lang w:eastAsia="zh-CN"/>
              </w:rPr>
              <w:t>非</w:t>
            </w:r>
            <w:r>
              <w:rPr>
                <w:rFonts w:hint="eastAsia" w:ascii="仿宋" w:eastAsia="仿宋" w:cs="仿宋"/>
                <w:sz w:val="24"/>
                <w:szCs w:val="24"/>
                <w:lang w:eastAsia="zh-CN"/>
              </w:rPr>
              <w:t>样机</w:t>
            </w:r>
            <w:r>
              <w:rPr>
                <w:rFonts w:ascii="仿宋" w:eastAsia="仿宋" w:cs="仿宋"/>
                <w:sz w:val="24"/>
                <w:szCs w:val="24"/>
                <w:lang w:eastAsia="zh-CN"/>
              </w:rPr>
              <w:t>、非停产设备</w:t>
            </w:r>
            <w:r>
              <w:rPr>
                <w:rFonts w:hint="eastAsia" w:ascii="仿宋" w:eastAsia="仿宋" w:cs="仿宋"/>
                <w:sz w:val="24"/>
                <w:szCs w:val="24"/>
                <w:lang w:eastAsia="zh-CN"/>
              </w:rPr>
              <w:t>；</w:t>
            </w:r>
          </w:p>
        </w:tc>
      </w:tr>
      <w:tr w14:paraId="692DA1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6" w:hRule="atLeast"/>
        </w:trPr>
        <w:tc>
          <w:tcPr>
            <w:tcW w:w="769" w:type="dxa"/>
            <w:vAlign w:val="center"/>
          </w:tcPr>
          <w:p w14:paraId="7510C166">
            <w:pPr>
              <w:widowControl/>
              <w:spacing w:line="400" w:lineRule="exact"/>
              <w:ind w:left="0" w:leftChars="0" w:firstLine="0" w:firstLineChars="0"/>
              <w:jc w:val="center"/>
              <w:rPr>
                <w:rFonts w:ascii="仿宋" w:eastAsia="仿宋" w:cs="仿宋"/>
                <w:sz w:val="24"/>
              </w:rPr>
            </w:pPr>
            <w:r>
              <w:rPr>
                <w:rFonts w:hint="eastAsia" w:ascii="仿宋" w:eastAsia="仿宋" w:cs="仿宋"/>
                <w:sz w:val="24"/>
              </w:rPr>
              <w:t>★</w:t>
            </w:r>
          </w:p>
        </w:tc>
        <w:tc>
          <w:tcPr>
            <w:tcW w:w="641" w:type="dxa"/>
            <w:vAlign w:val="center"/>
          </w:tcPr>
          <w:p w14:paraId="60733A93">
            <w:pPr>
              <w:pStyle w:val="30"/>
              <w:numPr>
                <w:ilvl w:val="0"/>
                <w:numId w:val="1"/>
              </w:numPr>
              <w:spacing w:line="400" w:lineRule="exact"/>
              <w:jc w:val="center"/>
              <w:rPr>
                <w:rFonts w:ascii="仿宋" w:eastAsia="仿宋" w:cs="仿宋"/>
                <w:sz w:val="24"/>
                <w:szCs w:val="24"/>
              </w:rPr>
            </w:pPr>
          </w:p>
        </w:tc>
        <w:tc>
          <w:tcPr>
            <w:tcW w:w="7728" w:type="dxa"/>
            <w:vAlign w:val="center"/>
          </w:tcPr>
          <w:p w14:paraId="3A47B533">
            <w:pPr>
              <w:pStyle w:val="30"/>
              <w:spacing w:line="400" w:lineRule="exact"/>
              <w:rPr>
                <w:rFonts w:hint="eastAsia" w:ascii="仿宋" w:eastAsia="仿宋" w:cs="仿宋"/>
                <w:sz w:val="24"/>
                <w:szCs w:val="24"/>
                <w:lang w:val="en-US" w:eastAsia="zh-CN"/>
              </w:rPr>
            </w:pPr>
            <w:r>
              <w:rPr>
                <w:rFonts w:hint="eastAsia" w:ascii="仿宋" w:eastAsia="仿宋" w:cs="仿宋"/>
                <w:sz w:val="24"/>
                <w:szCs w:val="24"/>
                <w:lang w:val="en-US" w:eastAsia="zh-CN"/>
              </w:rPr>
              <w:t xml:space="preserve">1.7 </w:t>
            </w:r>
            <w:r>
              <w:rPr>
                <w:rFonts w:hint="eastAsia" w:ascii="仿宋" w:eastAsia="仿宋" w:cs="仿宋"/>
                <w:sz w:val="24"/>
                <w:szCs w:val="24"/>
                <w:lang w:eastAsia="zh-CN"/>
              </w:rPr>
              <w:t>原厂整机出厂全新原机、未拆封，</w:t>
            </w:r>
            <w:r>
              <w:rPr>
                <w:rFonts w:ascii="仿宋" w:eastAsia="仿宋" w:cs="仿宋"/>
                <w:sz w:val="24"/>
                <w:szCs w:val="24"/>
                <w:lang w:eastAsia="zh-CN"/>
              </w:rPr>
              <w:t>交货日期不得超过生产日期后6个月</w:t>
            </w:r>
            <w:r>
              <w:rPr>
                <w:rFonts w:hint="eastAsia" w:ascii="仿宋" w:eastAsia="仿宋" w:cs="仿宋"/>
                <w:sz w:val="24"/>
                <w:szCs w:val="24"/>
                <w:lang w:eastAsia="zh-CN"/>
              </w:rPr>
              <w:t>；</w:t>
            </w:r>
          </w:p>
        </w:tc>
      </w:tr>
      <w:tr w14:paraId="22C7F8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6" w:hRule="atLeast"/>
        </w:trPr>
        <w:tc>
          <w:tcPr>
            <w:tcW w:w="769" w:type="dxa"/>
            <w:vAlign w:val="center"/>
          </w:tcPr>
          <w:p w14:paraId="7991D6A2">
            <w:pPr>
              <w:widowControl/>
              <w:spacing w:line="400" w:lineRule="exact"/>
              <w:ind w:left="0" w:leftChars="0" w:firstLine="0" w:firstLineChars="0"/>
              <w:jc w:val="center"/>
              <w:rPr>
                <w:rFonts w:hint="eastAsia" w:ascii="仿宋" w:eastAsia="仿宋" w:cs="仿宋"/>
                <w:sz w:val="24"/>
              </w:rPr>
            </w:pPr>
            <w:r>
              <w:rPr>
                <w:rFonts w:ascii="仿宋" w:eastAsia="仿宋" w:cs="仿宋"/>
                <w:sz w:val="24"/>
                <w:szCs w:val="24"/>
              </w:rPr>
              <w:t>▲</w:t>
            </w:r>
          </w:p>
        </w:tc>
        <w:tc>
          <w:tcPr>
            <w:tcW w:w="641" w:type="dxa"/>
            <w:vAlign w:val="center"/>
          </w:tcPr>
          <w:p w14:paraId="46DB91A3">
            <w:pPr>
              <w:pStyle w:val="30"/>
              <w:numPr>
                <w:ilvl w:val="0"/>
                <w:numId w:val="1"/>
              </w:numPr>
              <w:spacing w:line="400" w:lineRule="exact"/>
              <w:jc w:val="center"/>
              <w:rPr>
                <w:rFonts w:ascii="仿宋" w:eastAsia="仿宋" w:cs="仿宋"/>
                <w:sz w:val="24"/>
                <w:szCs w:val="24"/>
              </w:rPr>
            </w:pPr>
          </w:p>
        </w:tc>
        <w:tc>
          <w:tcPr>
            <w:tcW w:w="7728" w:type="dxa"/>
            <w:vAlign w:val="center"/>
          </w:tcPr>
          <w:p w14:paraId="1CD03EAA">
            <w:pPr>
              <w:pStyle w:val="30"/>
              <w:spacing w:line="400" w:lineRule="exact"/>
              <w:rPr>
                <w:rFonts w:hint="eastAsia" w:ascii="仿宋" w:eastAsia="仿宋" w:cs="仿宋"/>
                <w:sz w:val="24"/>
                <w:szCs w:val="24"/>
                <w:lang w:val="en-US" w:eastAsia="zh-CN"/>
              </w:rPr>
            </w:pPr>
            <w:r>
              <w:rPr>
                <w:rFonts w:hint="eastAsia" w:ascii="仿宋" w:eastAsia="仿宋" w:cs="仿宋"/>
                <w:b w:val="0"/>
                <w:bCs w:val="0"/>
                <w:sz w:val="24"/>
                <w:szCs w:val="24"/>
                <w:lang w:val="en-US" w:eastAsia="zh-CN"/>
              </w:rPr>
              <w:t xml:space="preserve">1.8 </w:t>
            </w:r>
            <w:r>
              <w:rPr>
                <w:rFonts w:hint="eastAsia" w:ascii="仿宋" w:eastAsia="仿宋" w:cs="仿宋"/>
                <w:b w:val="0"/>
                <w:bCs w:val="0"/>
                <w:sz w:val="24"/>
                <w:szCs w:val="24"/>
                <w:lang w:eastAsia="zh-CN"/>
              </w:rPr>
              <w:t>终身全功能免费升级。</w:t>
            </w:r>
          </w:p>
        </w:tc>
      </w:tr>
      <w:tr w14:paraId="70A757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8" w:hRule="atLeast"/>
        </w:trPr>
        <w:tc>
          <w:tcPr>
            <w:tcW w:w="769" w:type="dxa"/>
            <w:vAlign w:val="center"/>
          </w:tcPr>
          <w:p w14:paraId="38CF95EA">
            <w:pPr>
              <w:widowControl/>
              <w:spacing w:line="400" w:lineRule="exact"/>
              <w:ind w:left="0" w:leftChars="0" w:firstLine="0" w:firstLineChars="0"/>
              <w:jc w:val="center"/>
              <w:rPr>
                <w:rFonts w:ascii="仿宋" w:eastAsia="仿宋" w:cs="仿宋"/>
                <w:sz w:val="24"/>
              </w:rPr>
            </w:pPr>
          </w:p>
        </w:tc>
        <w:tc>
          <w:tcPr>
            <w:tcW w:w="641" w:type="dxa"/>
            <w:vAlign w:val="center"/>
          </w:tcPr>
          <w:p w14:paraId="29BB33EF">
            <w:pPr>
              <w:pStyle w:val="30"/>
              <w:numPr>
                <w:ilvl w:val="0"/>
                <w:numId w:val="1"/>
              </w:numPr>
              <w:spacing w:line="400" w:lineRule="exact"/>
              <w:jc w:val="center"/>
              <w:rPr>
                <w:rFonts w:ascii="仿宋" w:eastAsia="仿宋" w:cs="仿宋"/>
                <w:sz w:val="24"/>
                <w:szCs w:val="24"/>
              </w:rPr>
            </w:pPr>
          </w:p>
        </w:tc>
        <w:tc>
          <w:tcPr>
            <w:tcW w:w="7728" w:type="dxa"/>
            <w:vAlign w:val="center"/>
          </w:tcPr>
          <w:p w14:paraId="3ACBECD4">
            <w:pPr>
              <w:pStyle w:val="30"/>
              <w:spacing w:line="400" w:lineRule="exact"/>
              <w:rPr>
                <w:rFonts w:hint="eastAsia" w:ascii="仿宋" w:eastAsia="仿宋" w:cs="仿宋"/>
                <w:b/>
                <w:bCs/>
                <w:color w:val="000000"/>
                <w:sz w:val="24"/>
                <w:szCs w:val="24"/>
                <w:lang w:eastAsia="zh-CN"/>
              </w:rPr>
            </w:pPr>
            <w:r>
              <w:rPr>
                <w:rFonts w:hint="default" w:ascii="仿宋" w:eastAsia="仿宋" w:cs="仿宋"/>
                <w:b/>
                <w:bCs/>
                <w:color w:val="000000"/>
                <w:sz w:val="24"/>
                <w:szCs w:val="24"/>
                <w:lang w:val="en-US" w:eastAsia="zh-CN"/>
              </w:rPr>
              <w:t>二</w:t>
            </w:r>
            <w:r>
              <w:rPr>
                <w:rFonts w:hint="eastAsia" w:ascii="仿宋" w:eastAsia="仿宋" w:cs="仿宋"/>
                <w:b/>
                <w:bCs/>
                <w:color w:val="000000"/>
                <w:sz w:val="24"/>
                <w:szCs w:val="24"/>
                <w:lang w:val="en-US" w:eastAsia="zh-CN"/>
              </w:rPr>
              <w:t>、</w:t>
            </w:r>
            <w:r>
              <w:rPr>
                <w:rFonts w:hint="eastAsia" w:ascii="仿宋" w:eastAsia="仿宋" w:cs="仿宋"/>
                <w:b/>
                <w:bCs/>
                <w:color w:val="000000"/>
                <w:sz w:val="24"/>
                <w:szCs w:val="24"/>
                <w:lang w:eastAsia="zh-CN"/>
              </w:rPr>
              <w:t>主要技术要求</w:t>
            </w:r>
          </w:p>
          <w:p w14:paraId="15AB0615">
            <w:pPr>
              <w:pStyle w:val="30"/>
              <w:spacing w:line="400" w:lineRule="exact"/>
              <w:rPr>
                <w:rFonts w:ascii="仿宋" w:eastAsia="仿宋" w:cs="仿宋"/>
                <w:color w:val="000000"/>
                <w:sz w:val="24"/>
                <w:szCs w:val="24"/>
                <w:u w:val="single"/>
                <w:lang w:val="en-US" w:eastAsia="zh-CN"/>
              </w:rPr>
            </w:pPr>
            <w:r>
              <w:rPr>
                <w:rFonts w:hint="eastAsia" w:ascii="仿宋" w:eastAsia="仿宋" w:cs="仿宋"/>
                <w:color w:val="000000"/>
                <w:sz w:val="24"/>
                <w:szCs w:val="24"/>
                <w:lang w:val="en-US" w:eastAsia="zh-CN"/>
              </w:rPr>
              <w:t>2.1 工作原理：锥形束双能X射线吸收法，双能量自动区分骨骼与软组织。</w:t>
            </w:r>
          </w:p>
        </w:tc>
      </w:tr>
      <w:tr w14:paraId="30594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8" w:hRule="atLeast"/>
        </w:trPr>
        <w:tc>
          <w:tcPr>
            <w:tcW w:w="769" w:type="dxa"/>
            <w:vAlign w:val="center"/>
          </w:tcPr>
          <w:p w14:paraId="4CE2C3ED">
            <w:pPr>
              <w:widowControl/>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6B1902C3">
            <w:pPr>
              <w:pStyle w:val="30"/>
              <w:numPr>
                <w:ilvl w:val="0"/>
                <w:numId w:val="1"/>
              </w:numPr>
              <w:spacing w:line="400" w:lineRule="exact"/>
              <w:jc w:val="center"/>
              <w:rPr>
                <w:rFonts w:ascii="仿宋" w:eastAsia="仿宋" w:cs="仿宋"/>
                <w:sz w:val="24"/>
                <w:szCs w:val="24"/>
              </w:rPr>
            </w:pPr>
          </w:p>
        </w:tc>
        <w:tc>
          <w:tcPr>
            <w:tcW w:w="7728" w:type="dxa"/>
            <w:vAlign w:val="center"/>
          </w:tcPr>
          <w:p w14:paraId="205EF8CB">
            <w:pPr>
              <w:pStyle w:val="30"/>
              <w:spacing w:line="400" w:lineRule="exact"/>
              <w:rPr>
                <w:rFonts w:hint="eastAsia" w:ascii="仿宋" w:eastAsia="仿宋" w:cs="仿宋"/>
                <w:color w:val="000000"/>
                <w:sz w:val="24"/>
                <w:szCs w:val="24"/>
                <w:lang w:val="en-US" w:eastAsia="zh-CN"/>
              </w:rPr>
            </w:pPr>
            <w:r>
              <w:rPr>
                <w:rFonts w:hint="eastAsia" w:ascii="仿宋" w:eastAsia="仿宋" w:cs="仿宋"/>
                <w:b w:val="0"/>
                <w:bCs w:val="0"/>
                <w:color w:val="000000"/>
                <w:sz w:val="24"/>
                <w:szCs w:val="24"/>
                <w:lang w:val="en-US" w:eastAsia="zh-CN"/>
              </w:rPr>
              <w:t>2.2 具备瞬爆快速成像技术。</w:t>
            </w:r>
          </w:p>
        </w:tc>
      </w:tr>
      <w:tr w14:paraId="1D695D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7" w:hRule="atLeast"/>
        </w:trPr>
        <w:tc>
          <w:tcPr>
            <w:tcW w:w="769" w:type="dxa"/>
            <w:vAlign w:val="center"/>
          </w:tcPr>
          <w:p w14:paraId="3440175B">
            <w:pPr>
              <w:widowControl/>
              <w:spacing w:line="400" w:lineRule="exact"/>
              <w:ind w:left="0" w:leftChars="0" w:firstLine="0" w:firstLineChars="0"/>
              <w:jc w:val="center"/>
              <w:rPr>
                <w:rFonts w:ascii="仿宋" w:eastAsia="仿宋" w:cs="仿宋"/>
                <w:sz w:val="24"/>
              </w:rPr>
            </w:pPr>
          </w:p>
        </w:tc>
        <w:tc>
          <w:tcPr>
            <w:tcW w:w="641" w:type="dxa"/>
            <w:vAlign w:val="center"/>
          </w:tcPr>
          <w:p w14:paraId="56F09B65">
            <w:pPr>
              <w:pStyle w:val="30"/>
              <w:numPr>
                <w:ilvl w:val="0"/>
                <w:numId w:val="1"/>
              </w:numPr>
              <w:spacing w:line="400" w:lineRule="exact"/>
              <w:jc w:val="center"/>
              <w:rPr>
                <w:rFonts w:ascii="仿宋" w:eastAsia="仿宋" w:cs="仿宋"/>
                <w:sz w:val="24"/>
                <w:szCs w:val="24"/>
              </w:rPr>
            </w:pPr>
          </w:p>
        </w:tc>
        <w:tc>
          <w:tcPr>
            <w:tcW w:w="7728" w:type="dxa"/>
            <w:vAlign w:val="center"/>
          </w:tcPr>
          <w:p w14:paraId="6855DEE0">
            <w:pPr>
              <w:pStyle w:val="30"/>
              <w:spacing w:line="400" w:lineRule="exact"/>
              <w:rPr>
                <w:rFonts w:ascii="仿宋" w:eastAsia="仿宋" w:cs="仿宋"/>
                <w:color w:val="000000"/>
                <w:sz w:val="24"/>
                <w:lang w:val="en-US" w:eastAsia="zh-CN" w:bidi="ar-SA"/>
              </w:rPr>
            </w:pPr>
            <w:r>
              <w:rPr>
                <w:rFonts w:hint="eastAsia" w:ascii="仿宋" w:eastAsia="仿宋" w:cs="仿宋"/>
                <w:color w:val="000000"/>
                <w:sz w:val="24"/>
                <w:szCs w:val="24"/>
                <w:lang w:val="en-US" w:eastAsia="zh-CN"/>
              </w:rPr>
              <w:t>2.3 工作模式：具备成人常规筛查、儿童骨龄检测、批量体检三种工作模式，操作者可自由切换。</w:t>
            </w:r>
          </w:p>
        </w:tc>
      </w:tr>
      <w:tr w14:paraId="0FDA64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7" w:hRule="atLeast"/>
        </w:trPr>
        <w:tc>
          <w:tcPr>
            <w:tcW w:w="769" w:type="dxa"/>
            <w:vAlign w:val="center"/>
          </w:tcPr>
          <w:p w14:paraId="67BA445B">
            <w:pPr>
              <w:pStyle w:val="30"/>
              <w:spacing w:line="400" w:lineRule="exact"/>
              <w:ind w:left="0" w:leftChars="0" w:firstLine="0" w:firstLineChars="0"/>
              <w:rPr>
                <w:rFonts w:ascii="仿宋" w:eastAsia="仿宋" w:cs="仿宋"/>
                <w:sz w:val="24"/>
              </w:rPr>
            </w:pPr>
          </w:p>
        </w:tc>
        <w:tc>
          <w:tcPr>
            <w:tcW w:w="641" w:type="dxa"/>
            <w:vAlign w:val="center"/>
          </w:tcPr>
          <w:p w14:paraId="76A3813F">
            <w:pPr>
              <w:pStyle w:val="30"/>
              <w:numPr>
                <w:ilvl w:val="0"/>
                <w:numId w:val="1"/>
              </w:numPr>
              <w:spacing w:line="400" w:lineRule="exact"/>
              <w:ind w:left="425" w:hanging="425"/>
              <w:rPr>
                <w:rFonts w:ascii="仿宋" w:eastAsia="仿宋" w:cs="仿宋"/>
                <w:sz w:val="24"/>
              </w:rPr>
            </w:pPr>
          </w:p>
        </w:tc>
        <w:tc>
          <w:tcPr>
            <w:tcW w:w="7728" w:type="dxa"/>
            <w:vAlign w:val="center"/>
          </w:tcPr>
          <w:p w14:paraId="47A173FC">
            <w:pPr>
              <w:pStyle w:val="30"/>
              <w:spacing w:line="400" w:lineRule="exact"/>
              <w:rPr>
                <w:rFonts w:ascii="仿宋" w:eastAsia="仿宋" w:cs="仿宋"/>
                <w:color w:val="000000"/>
                <w:sz w:val="24"/>
                <w:szCs w:val="24"/>
                <w:lang w:val="en-US" w:eastAsia="zh-CN" w:bidi="ar-SA"/>
              </w:rPr>
            </w:pPr>
            <w:r>
              <w:rPr>
                <w:rFonts w:hint="eastAsia" w:ascii="仿宋" w:eastAsia="仿宋" w:cs="仿宋"/>
                <w:color w:val="000000"/>
                <w:sz w:val="24"/>
                <w:szCs w:val="24"/>
                <w:lang w:val="en-US" w:eastAsia="zh-CN"/>
              </w:rPr>
              <w:t>2.4 工作电源：220V/50Hz；电压波动自适应;</w:t>
            </w:r>
          </w:p>
        </w:tc>
      </w:tr>
      <w:tr w14:paraId="7DFC2C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57" w:hRule="atLeast"/>
        </w:trPr>
        <w:tc>
          <w:tcPr>
            <w:tcW w:w="769" w:type="dxa"/>
            <w:vAlign w:val="center"/>
          </w:tcPr>
          <w:p w14:paraId="281F4CAF">
            <w:pPr>
              <w:widowControl/>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2631D21E">
            <w:pPr>
              <w:pStyle w:val="30"/>
              <w:numPr>
                <w:ilvl w:val="0"/>
                <w:numId w:val="1"/>
              </w:numPr>
              <w:spacing w:line="400" w:lineRule="exact"/>
              <w:jc w:val="center"/>
              <w:rPr>
                <w:rFonts w:ascii="仿宋" w:eastAsia="仿宋" w:cs="仿宋"/>
                <w:sz w:val="24"/>
                <w:szCs w:val="24"/>
              </w:rPr>
            </w:pPr>
          </w:p>
        </w:tc>
        <w:tc>
          <w:tcPr>
            <w:tcW w:w="7728" w:type="dxa"/>
            <w:vAlign w:val="center"/>
          </w:tcPr>
          <w:p w14:paraId="397CC911">
            <w:pPr>
              <w:pStyle w:val="30"/>
              <w:spacing w:line="400" w:lineRule="exact"/>
              <w:rPr>
                <w:rFonts w:hint="eastAsia" w:ascii="仿宋" w:eastAsia="仿宋" w:cs="仿宋"/>
                <w:color w:val="000000"/>
                <w:sz w:val="24"/>
                <w:szCs w:val="24"/>
                <w:highlight w:val="none"/>
                <w:lang w:val="en-US" w:eastAsia="zh-CN"/>
              </w:rPr>
            </w:pPr>
            <w:r>
              <w:rPr>
                <w:rFonts w:hint="eastAsia" w:ascii="仿宋" w:eastAsia="仿宋" w:cs="仿宋"/>
                <w:color w:val="000000"/>
                <w:sz w:val="24"/>
                <w:szCs w:val="24"/>
                <w:highlight w:val="none"/>
                <w:lang w:val="en-US" w:eastAsia="zh-CN"/>
              </w:rPr>
              <w:t>2.5 具备机带锂电池包供电、电池续航单次充电使用时长≥4小时、可完成50人次检测。</w:t>
            </w:r>
          </w:p>
        </w:tc>
      </w:tr>
      <w:tr w14:paraId="3D598C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57" w:hRule="atLeast"/>
        </w:trPr>
        <w:tc>
          <w:tcPr>
            <w:tcW w:w="769" w:type="dxa"/>
            <w:vAlign w:val="center"/>
          </w:tcPr>
          <w:p w14:paraId="7C15BFD9">
            <w:pPr>
              <w:pStyle w:val="30"/>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7A60973C">
            <w:pPr>
              <w:pStyle w:val="30"/>
              <w:numPr>
                <w:ilvl w:val="0"/>
                <w:numId w:val="1"/>
              </w:numPr>
              <w:spacing w:line="400" w:lineRule="exact"/>
              <w:ind w:left="425" w:hanging="425"/>
              <w:rPr>
                <w:rFonts w:ascii="仿宋" w:eastAsia="仿宋" w:cs="仿宋"/>
                <w:sz w:val="24"/>
              </w:rPr>
            </w:pPr>
          </w:p>
        </w:tc>
        <w:tc>
          <w:tcPr>
            <w:tcW w:w="7728" w:type="dxa"/>
            <w:vAlign w:val="center"/>
          </w:tcPr>
          <w:p w14:paraId="3C99AD69">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2.6 </w:t>
            </w:r>
            <w:r>
              <w:rPr>
                <w:rFonts w:hint="eastAsia" w:ascii="仿宋" w:eastAsia="仿宋" w:cs="仿宋"/>
                <w:sz w:val="24"/>
                <w:szCs w:val="24"/>
                <w:lang w:eastAsia="zh-CN"/>
              </w:rPr>
              <w:t>工作站</w:t>
            </w:r>
            <w:r>
              <w:rPr>
                <w:rFonts w:ascii="仿宋" w:eastAsia="仿宋" w:cs="仿宋"/>
                <w:sz w:val="24"/>
                <w:szCs w:val="24"/>
                <w:lang w:eastAsia="zh-CN"/>
              </w:rPr>
              <w:t>：</w:t>
            </w:r>
            <w:r>
              <w:rPr>
                <w:rFonts w:hint="eastAsia" w:ascii="仿宋" w:eastAsia="仿宋" w:cs="仿宋"/>
                <w:sz w:val="24"/>
                <w:szCs w:val="24"/>
                <w:lang w:eastAsia="zh-CN"/>
              </w:rPr>
              <w:t>台式</w:t>
            </w:r>
            <w:r>
              <w:rPr>
                <w:rFonts w:hint="eastAsia" w:ascii="仿宋" w:eastAsia="仿宋" w:cs="仿宋"/>
                <w:sz w:val="24"/>
                <w:szCs w:val="24"/>
                <w:lang w:val="en-US" w:eastAsia="zh-CN"/>
              </w:rPr>
              <w:t>/</w:t>
            </w:r>
            <w:r>
              <w:rPr>
                <w:rFonts w:hint="eastAsia" w:ascii="仿宋" w:eastAsia="仿宋" w:cs="仿宋"/>
                <w:sz w:val="24"/>
                <w:szCs w:val="24"/>
                <w:lang w:eastAsia="zh-CN"/>
              </w:rPr>
              <w:t>笔记本电脑；屏幕≥15.6英寸彩色电容触控屏/</w:t>
            </w:r>
            <w:r>
              <w:rPr>
                <w:rFonts w:hint="eastAsia" w:ascii="仿宋" w:eastAsia="仿宋" w:cs="仿宋"/>
                <w:sz w:val="24"/>
                <w:szCs w:val="24"/>
                <w:lang w:val="en-US" w:eastAsia="zh-CN"/>
              </w:rPr>
              <w:t>22</w:t>
            </w:r>
            <w:r>
              <w:rPr>
                <w:rFonts w:hint="eastAsia" w:ascii="仿宋" w:eastAsia="仿宋" w:cs="仿宋"/>
                <w:sz w:val="24"/>
                <w:szCs w:val="24"/>
                <w:lang w:eastAsia="zh-CN"/>
              </w:rPr>
              <w:t>寸医用显示器、</w:t>
            </w:r>
            <w:r>
              <w:rPr>
                <w:rFonts w:ascii="仿宋" w:eastAsia="仿宋" w:cs="仿宋"/>
                <w:sz w:val="24"/>
                <w:szCs w:val="24"/>
                <w:lang w:eastAsia="zh-CN"/>
              </w:rPr>
              <w:t>分辨率≥</w:t>
            </w:r>
            <w:r>
              <w:rPr>
                <w:rFonts w:hint="eastAsia" w:ascii="仿宋" w:eastAsia="仿宋" w:cs="仿宋"/>
                <w:sz w:val="24"/>
                <w:szCs w:val="24"/>
                <w:lang w:val="en-US" w:eastAsia="zh-CN"/>
              </w:rPr>
              <w:t>2560</w:t>
            </w:r>
            <w:r>
              <w:rPr>
                <w:rFonts w:ascii="仿宋" w:eastAsia="仿宋" w:cs="仿宋"/>
                <w:sz w:val="24"/>
                <w:szCs w:val="24"/>
                <w:lang w:eastAsia="zh-CN"/>
              </w:rPr>
              <w:t>×</w:t>
            </w:r>
            <w:r>
              <w:rPr>
                <w:rFonts w:hint="eastAsia" w:ascii="仿宋" w:eastAsia="仿宋" w:cs="仿宋"/>
                <w:sz w:val="24"/>
                <w:szCs w:val="24"/>
                <w:lang w:val="en-US" w:eastAsia="zh-CN"/>
              </w:rPr>
              <w:t>1600</w:t>
            </w:r>
            <w:r>
              <w:rPr>
                <w:rFonts w:hint="eastAsia" w:ascii="仿宋" w:eastAsia="仿宋" w:cs="仿宋"/>
                <w:sz w:val="24"/>
                <w:szCs w:val="24"/>
                <w:lang w:eastAsia="zh-CN"/>
              </w:rPr>
              <w:t>；</w:t>
            </w:r>
            <w:r>
              <w:rPr>
                <w:rFonts w:hint="eastAsia" w:ascii="仿宋" w:eastAsia="仿宋" w:cs="仿宋"/>
                <w:sz w:val="24"/>
                <w:szCs w:val="24"/>
                <w:lang w:val="en-US" w:eastAsia="zh-CN"/>
              </w:rPr>
              <w:t>CPU≥</w:t>
            </w:r>
            <w:r>
              <w:rPr>
                <w:rFonts w:hint="eastAsia" w:ascii="仿宋" w:eastAsia="仿宋" w:cs="仿宋"/>
                <w:sz w:val="24"/>
                <w:szCs w:val="24"/>
                <w:lang w:eastAsia="zh-CN"/>
              </w:rPr>
              <w:t>i5 1</w:t>
            </w:r>
            <w:r>
              <w:rPr>
                <w:rFonts w:hint="eastAsia" w:ascii="仿宋" w:eastAsia="仿宋" w:cs="仿宋"/>
                <w:sz w:val="24"/>
                <w:szCs w:val="24"/>
                <w:lang w:val="en-US" w:eastAsia="zh-CN"/>
              </w:rPr>
              <w:t>4</w:t>
            </w:r>
            <w:r>
              <w:rPr>
                <w:rFonts w:hint="eastAsia" w:ascii="仿宋" w:eastAsia="仿宋" w:cs="仿宋"/>
                <w:sz w:val="24"/>
                <w:szCs w:val="24"/>
                <w:lang w:eastAsia="zh-CN"/>
              </w:rPr>
              <w:t>代</w:t>
            </w:r>
            <w:r>
              <w:rPr>
                <w:rFonts w:hint="eastAsia" w:ascii="仿宋" w:eastAsia="仿宋" w:cs="仿宋"/>
                <w:sz w:val="24"/>
                <w:szCs w:val="24"/>
                <w:lang w:val="en-US" w:eastAsia="zh-CN"/>
              </w:rPr>
              <w:t>3.5GHz</w:t>
            </w:r>
            <w:r>
              <w:rPr>
                <w:rFonts w:hint="eastAsia" w:ascii="仿宋" w:eastAsia="仿宋" w:cs="仿宋"/>
                <w:sz w:val="24"/>
                <w:szCs w:val="24"/>
                <w:lang w:eastAsia="zh-CN"/>
              </w:rPr>
              <w:t>；内存≥16G；</w:t>
            </w:r>
            <w:r>
              <w:rPr>
                <w:rFonts w:hint="eastAsia" w:ascii="仿宋" w:eastAsia="仿宋" w:cs="仿宋"/>
                <w:sz w:val="24"/>
                <w:szCs w:val="24"/>
                <w:lang w:val="en-US" w:eastAsia="zh-CN"/>
              </w:rPr>
              <w:t>SSD≥256G；</w:t>
            </w:r>
            <w:r>
              <w:rPr>
                <w:rFonts w:hint="eastAsia" w:ascii="仿宋" w:eastAsia="仿宋" w:cs="仿宋"/>
                <w:sz w:val="24"/>
                <w:szCs w:val="24"/>
                <w:lang w:eastAsia="zh-CN"/>
              </w:rPr>
              <w:t>硬盘≥</w:t>
            </w:r>
            <w:r>
              <w:rPr>
                <w:rFonts w:hint="eastAsia" w:ascii="仿宋" w:eastAsia="仿宋" w:cs="仿宋"/>
                <w:sz w:val="24"/>
                <w:szCs w:val="24"/>
                <w:lang w:val="en-US" w:eastAsia="zh-CN"/>
              </w:rPr>
              <w:t>1T；</w:t>
            </w:r>
            <w:r>
              <w:rPr>
                <w:rFonts w:hint="eastAsia" w:ascii="仿宋" w:eastAsia="仿宋" w:cs="仿宋"/>
                <w:sz w:val="24"/>
                <w:szCs w:val="24"/>
                <w:lang w:eastAsia="zh-CN"/>
              </w:rPr>
              <w:t>独立GPU医疗专业显卡配置。</w:t>
            </w:r>
          </w:p>
        </w:tc>
      </w:tr>
      <w:tr w14:paraId="2A95B5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5790B357">
            <w:pPr>
              <w:widowControl/>
              <w:spacing w:line="400" w:lineRule="exact"/>
              <w:ind w:left="0" w:leftChars="0" w:firstLine="0" w:firstLineChars="0"/>
              <w:jc w:val="center"/>
              <w:rPr>
                <w:rFonts w:ascii="仿宋" w:eastAsia="仿宋" w:cs="仿宋"/>
                <w:sz w:val="24"/>
              </w:rPr>
            </w:pPr>
            <w:r>
              <w:rPr>
                <w:rFonts w:hint="eastAsia" w:ascii="仿宋" w:eastAsia="仿宋" w:cs="仿宋"/>
                <w:sz w:val="24"/>
              </w:rPr>
              <w:t>★</w:t>
            </w:r>
          </w:p>
        </w:tc>
        <w:tc>
          <w:tcPr>
            <w:tcW w:w="641" w:type="dxa"/>
            <w:vAlign w:val="center"/>
          </w:tcPr>
          <w:p w14:paraId="0848EB63">
            <w:pPr>
              <w:pStyle w:val="30"/>
              <w:numPr>
                <w:ilvl w:val="0"/>
                <w:numId w:val="1"/>
              </w:numPr>
              <w:spacing w:line="400" w:lineRule="exact"/>
              <w:jc w:val="center"/>
              <w:rPr>
                <w:rFonts w:ascii="仿宋" w:eastAsia="仿宋" w:cs="仿宋"/>
                <w:sz w:val="24"/>
                <w:szCs w:val="24"/>
              </w:rPr>
            </w:pPr>
          </w:p>
        </w:tc>
        <w:tc>
          <w:tcPr>
            <w:tcW w:w="7728" w:type="dxa"/>
            <w:vAlign w:val="center"/>
          </w:tcPr>
          <w:p w14:paraId="79967357">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2.7 </w:t>
            </w:r>
            <w:r>
              <w:rPr>
                <w:rFonts w:hint="eastAsia" w:ascii="仿宋" w:eastAsia="仿宋" w:cs="仿宋"/>
                <w:sz w:val="24"/>
                <w:szCs w:val="24"/>
                <w:lang w:eastAsia="zh-CN"/>
              </w:rPr>
              <w:t>防护等级：</w:t>
            </w:r>
          </w:p>
          <w:p w14:paraId="75B7F9FE">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2.7.1 </w:t>
            </w:r>
            <w:r>
              <w:rPr>
                <w:rFonts w:hint="eastAsia" w:ascii="仿宋" w:eastAsia="仿宋" w:cs="仿宋"/>
                <w:sz w:val="24"/>
                <w:szCs w:val="24"/>
                <w:lang w:eastAsia="zh-CN"/>
              </w:rPr>
              <w:t>整机铅屏蔽防护，无需单独铅房；</w:t>
            </w:r>
          </w:p>
          <w:p w14:paraId="552D617C">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2.7.2 </w:t>
            </w:r>
            <w:r>
              <w:rPr>
                <w:rFonts w:ascii="仿宋" w:eastAsia="仿宋" w:cs="仿宋"/>
                <w:sz w:val="24"/>
                <w:szCs w:val="24"/>
                <w:lang w:eastAsia="zh-CN"/>
              </w:rPr>
              <w:t>1米泄漏剂量≤0.</w:t>
            </w:r>
            <w:r>
              <w:rPr>
                <w:rFonts w:hint="eastAsia" w:ascii="仿宋" w:eastAsia="仿宋" w:cs="仿宋"/>
                <w:sz w:val="24"/>
                <w:szCs w:val="24"/>
                <w:lang w:val="en-US" w:eastAsia="zh-CN"/>
              </w:rPr>
              <w:t>25</w:t>
            </w:r>
            <w:r>
              <w:rPr>
                <w:rFonts w:ascii="仿宋" w:eastAsia="仿宋" w:cs="仿宋"/>
                <w:sz w:val="24"/>
                <w:szCs w:val="24"/>
                <w:lang w:eastAsia="zh-CN"/>
              </w:rPr>
              <w:t>μSv/h，符合GBZ130-2020放射防护标准；</w:t>
            </w:r>
          </w:p>
        </w:tc>
      </w:tr>
      <w:tr w14:paraId="4CAB0F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70D37039">
            <w:pPr>
              <w:widowControl/>
              <w:spacing w:line="400" w:lineRule="exact"/>
              <w:ind w:left="0" w:leftChars="0" w:firstLine="0" w:firstLineChars="0"/>
              <w:jc w:val="center"/>
              <w:rPr>
                <w:rFonts w:ascii="仿宋" w:eastAsia="仿宋" w:cs="仿宋"/>
                <w:sz w:val="24"/>
                <w:szCs w:val="24"/>
                <w:lang w:eastAsia="zh-CN"/>
              </w:rPr>
            </w:pPr>
            <w:r>
              <w:rPr>
                <w:rFonts w:ascii="仿宋" w:eastAsia="仿宋" w:cs="仿宋"/>
                <w:sz w:val="24"/>
                <w:szCs w:val="24"/>
              </w:rPr>
              <w:t>▲</w:t>
            </w:r>
          </w:p>
        </w:tc>
        <w:tc>
          <w:tcPr>
            <w:tcW w:w="641" w:type="dxa"/>
            <w:vAlign w:val="center"/>
          </w:tcPr>
          <w:p w14:paraId="3B62F50C">
            <w:pPr>
              <w:pStyle w:val="30"/>
              <w:numPr>
                <w:ilvl w:val="0"/>
                <w:numId w:val="1"/>
              </w:numPr>
              <w:spacing w:line="400" w:lineRule="exact"/>
              <w:jc w:val="center"/>
              <w:rPr>
                <w:rFonts w:ascii="仿宋" w:eastAsia="仿宋" w:cs="仿宋"/>
                <w:sz w:val="24"/>
                <w:szCs w:val="24"/>
              </w:rPr>
            </w:pPr>
          </w:p>
        </w:tc>
        <w:tc>
          <w:tcPr>
            <w:tcW w:w="7728" w:type="dxa"/>
            <w:vAlign w:val="center"/>
          </w:tcPr>
          <w:p w14:paraId="38BA1F7A">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2.8 </w:t>
            </w:r>
            <w:r>
              <w:rPr>
                <w:rFonts w:hint="eastAsia" w:ascii="仿宋" w:eastAsia="仿宋" w:cs="仿宋"/>
                <w:sz w:val="24"/>
                <w:szCs w:val="24"/>
                <w:lang w:eastAsia="zh-CN"/>
              </w:rPr>
              <w:t>支持有线</w:t>
            </w:r>
            <w:r>
              <w:rPr>
                <w:rFonts w:hint="eastAsia" w:ascii="仿宋" w:eastAsia="仿宋" w:cs="仿宋"/>
                <w:sz w:val="24"/>
                <w:szCs w:val="24"/>
                <w:lang w:val="en-US" w:eastAsia="zh-CN"/>
              </w:rPr>
              <w:t>+</w:t>
            </w:r>
            <w:r>
              <w:rPr>
                <w:rFonts w:hint="eastAsia" w:ascii="仿宋" w:eastAsia="仿宋" w:cs="仿宋"/>
                <w:sz w:val="24"/>
                <w:szCs w:val="24"/>
                <w:lang w:eastAsia="zh-CN"/>
              </w:rPr>
              <w:t>无线双模式曝光</w:t>
            </w:r>
          </w:p>
        </w:tc>
      </w:tr>
      <w:tr w14:paraId="245B3C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0A7D246A">
            <w:pPr>
              <w:widowControl/>
              <w:spacing w:line="400" w:lineRule="exact"/>
              <w:ind w:left="0" w:leftChars="0" w:firstLine="0" w:firstLineChars="0"/>
              <w:jc w:val="center"/>
              <w:rPr>
                <w:rFonts w:ascii="仿宋" w:eastAsia="仿宋" w:cs="仿宋"/>
                <w:sz w:val="24"/>
              </w:rPr>
            </w:pPr>
          </w:p>
        </w:tc>
        <w:tc>
          <w:tcPr>
            <w:tcW w:w="641" w:type="dxa"/>
            <w:vAlign w:val="center"/>
          </w:tcPr>
          <w:p w14:paraId="423A6C28">
            <w:pPr>
              <w:pStyle w:val="30"/>
              <w:numPr>
                <w:ilvl w:val="0"/>
                <w:numId w:val="1"/>
              </w:numPr>
              <w:spacing w:line="400" w:lineRule="exact"/>
              <w:jc w:val="center"/>
              <w:rPr>
                <w:rFonts w:ascii="仿宋" w:eastAsia="仿宋" w:cs="仿宋"/>
                <w:sz w:val="24"/>
                <w:szCs w:val="24"/>
              </w:rPr>
            </w:pPr>
          </w:p>
        </w:tc>
        <w:tc>
          <w:tcPr>
            <w:tcW w:w="7728" w:type="dxa"/>
            <w:vAlign w:val="center"/>
          </w:tcPr>
          <w:p w14:paraId="2FD0BD7F">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2.9 </w:t>
            </w:r>
            <w:r>
              <w:rPr>
                <w:rFonts w:hint="eastAsia" w:ascii="仿宋" w:eastAsia="仿宋" w:cs="仿宋"/>
                <w:sz w:val="24"/>
                <w:szCs w:val="24"/>
                <w:lang w:eastAsia="zh-CN"/>
              </w:rPr>
              <w:t>硬件</w:t>
            </w:r>
            <w:r>
              <w:rPr>
                <w:rFonts w:ascii="仿宋" w:eastAsia="仿宋" w:cs="仿宋"/>
                <w:sz w:val="24"/>
                <w:szCs w:val="24"/>
                <w:lang w:eastAsia="zh-CN"/>
              </w:rPr>
              <w:t>指标：</w:t>
            </w:r>
          </w:p>
          <w:p w14:paraId="16CFDBFA">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2.9.1 管电压：低能管电压≥40kV；高能管电压≤80kV</w:t>
            </w:r>
            <w:r>
              <w:rPr>
                <w:rFonts w:ascii="仿宋" w:eastAsia="仿宋" w:cs="仿宋"/>
                <w:sz w:val="24"/>
                <w:szCs w:val="24"/>
                <w:lang w:eastAsia="zh-CN"/>
              </w:rPr>
              <w:t>；</w:t>
            </w:r>
          </w:p>
        </w:tc>
      </w:tr>
      <w:tr w14:paraId="159A8A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23CA7531">
            <w:pPr>
              <w:widowControl/>
              <w:spacing w:line="400" w:lineRule="exact"/>
              <w:ind w:left="0" w:leftChars="0" w:firstLine="0" w:firstLineChars="0"/>
              <w:jc w:val="center"/>
              <w:rPr>
                <w:rFonts w:ascii="仿宋" w:eastAsia="仿宋" w:cs="仿宋"/>
                <w:sz w:val="24"/>
              </w:rPr>
            </w:pPr>
          </w:p>
        </w:tc>
        <w:tc>
          <w:tcPr>
            <w:tcW w:w="641" w:type="dxa"/>
            <w:vAlign w:val="center"/>
          </w:tcPr>
          <w:p w14:paraId="60F913B4">
            <w:pPr>
              <w:pStyle w:val="30"/>
              <w:numPr>
                <w:ilvl w:val="0"/>
                <w:numId w:val="1"/>
              </w:numPr>
              <w:spacing w:line="400" w:lineRule="exact"/>
              <w:jc w:val="center"/>
              <w:rPr>
                <w:rFonts w:ascii="仿宋" w:eastAsia="仿宋" w:cs="仿宋"/>
                <w:sz w:val="24"/>
                <w:szCs w:val="24"/>
              </w:rPr>
            </w:pPr>
          </w:p>
        </w:tc>
        <w:tc>
          <w:tcPr>
            <w:tcW w:w="7728" w:type="dxa"/>
            <w:vAlign w:val="center"/>
          </w:tcPr>
          <w:p w14:paraId="4E6D203B">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2.9.2 </w:t>
            </w:r>
            <w:r>
              <w:rPr>
                <w:rFonts w:ascii="仿宋" w:eastAsia="仿宋" w:cs="仿宋"/>
                <w:sz w:val="24"/>
                <w:szCs w:val="24"/>
                <w:lang w:eastAsia="zh-CN"/>
              </w:rPr>
              <w:t>焦点尺寸≤0.5mm，焦屏距≥</w:t>
            </w:r>
            <w:r>
              <w:rPr>
                <w:rFonts w:hint="eastAsia" w:ascii="仿宋" w:eastAsia="仿宋" w:cs="仿宋"/>
                <w:sz w:val="24"/>
                <w:szCs w:val="24"/>
                <w:lang w:val="en-US" w:eastAsia="zh-CN"/>
              </w:rPr>
              <w:t>200</w:t>
            </w:r>
            <w:r>
              <w:rPr>
                <w:rFonts w:ascii="仿宋" w:eastAsia="仿宋" w:cs="仿宋"/>
                <w:sz w:val="24"/>
                <w:szCs w:val="24"/>
                <w:lang w:eastAsia="zh-CN"/>
              </w:rPr>
              <w:t>mm</w:t>
            </w:r>
            <w:r>
              <w:rPr>
                <w:rFonts w:hint="eastAsia" w:ascii="仿宋" w:eastAsia="仿宋" w:cs="仿宋"/>
                <w:sz w:val="24"/>
                <w:szCs w:val="24"/>
                <w:lang w:eastAsia="zh-CN"/>
              </w:rPr>
              <w:t>，</w:t>
            </w:r>
            <w:r>
              <w:rPr>
                <w:rFonts w:ascii="仿宋" w:eastAsia="仿宋" w:cs="仿宋"/>
                <w:sz w:val="24"/>
                <w:szCs w:val="24"/>
                <w:lang w:eastAsia="zh-CN"/>
              </w:rPr>
              <w:t>靶角≥10°</w:t>
            </w:r>
            <w:r>
              <w:rPr>
                <w:rFonts w:hint="eastAsia" w:ascii="仿宋" w:eastAsia="仿宋" w:cs="仿宋"/>
                <w:sz w:val="24"/>
                <w:szCs w:val="24"/>
                <w:lang w:eastAsia="zh-CN"/>
              </w:rPr>
              <w:t>；</w:t>
            </w:r>
          </w:p>
        </w:tc>
      </w:tr>
      <w:tr w14:paraId="0D7961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47B247CF">
            <w:pPr>
              <w:widowControl/>
              <w:spacing w:line="400" w:lineRule="exact"/>
              <w:ind w:left="0" w:leftChars="0" w:firstLine="0" w:firstLineChars="0"/>
              <w:jc w:val="center"/>
              <w:rPr>
                <w:rFonts w:ascii="仿宋" w:eastAsia="仿宋" w:cs="仿宋"/>
                <w:sz w:val="24"/>
              </w:rPr>
            </w:pPr>
          </w:p>
        </w:tc>
        <w:tc>
          <w:tcPr>
            <w:tcW w:w="641" w:type="dxa"/>
            <w:vAlign w:val="center"/>
          </w:tcPr>
          <w:p w14:paraId="757069A8">
            <w:pPr>
              <w:pStyle w:val="30"/>
              <w:numPr>
                <w:ilvl w:val="0"/>
                <w:numId w:val="1"/>
              </w:numPr>
              <w:spacing w:line="400" w:lineRule="exact"/>
              <w:jc w:val="center"/>
              <w:rPr>
                <w:rFonts w:ascii="仿宋" w:eastAsia="仿宋" w:cs="仿宋"/>
                <w:sz w:val="24"/>
                <w:szCs w:val="24"/>
              </w:rPr>
            </w:pPr>
          </w:p>
        </w:tc>
        <w:tc>
          <w:tcPr>
            <w:tcW w:w="7728" w:type="dxa"/>
            <w:vAlign w:val="center"/>
          </w:tcPr>
          <w:p w14:paraId="7119DD21">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2.9.3 </w:t>
            </w:r>
            <w:r>
              <w:rPr>
                <w:rFonts w:ascii="仿宋" w:eastAsia="仿宋" w:cs="仿宋"/>
                <w:sz w:val="24"/>
                <w:szCs w:val="24"/>
                <w:lang w:eastAsia="zh-CN"/>
              </w:rPr>
              <w:t>单次曝光采集时间≤</w:t>
            </w:r>
            <w:r>
              <w:rPr>
                <w:rFonts w:hint="eastAsia" w:ascii="仿宋" w:eastAsia="仿宋" w:cs="仿宋"/>
                <w:sz w:val="24"/>
                <w:szCs w:val="24"/>
                <w:lang w:val="en-US" w:eastAsia="zh-CN"/>
              </w:rPr>
              <w:t>4</w:t>
            </w:r>
            <w:r>
              <w:rPr>
                <w:rFonts w:ascii="仿宋" w:eastAsia="仿宋" w:cs="仿宋"/>
                <w:sz w:val="24"/>
                <w:szCs w:val="24"/>
                <w:lang w:eastAsia="zh-CN"/>
              </w:rPr>
              <w:t>秒；</w:t>
            </w:r>
          </w:p>
        </w:tc>
      </w:tr>
      <w:tr w14:paraId="31385F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609D3654">
            <w:pPr>
              <w:widowControl/>
              <w:spacing w:line="400" w:lineRule="exact"/>
              <w:ind w:left="0" w:leftChars="0" w:firstLine="0" w:firstLineChars="0"/>
              <w:jc w:val="center"/>
              <w:rPr>
                <w:rFonts w:ascii="仿宋" w:eastAsia="仿宋" w:cs="仿宋"/>
                <w:sz w:val="24"/>
              </w:rPr>
            </w:pPr>
          </w:p>
        </w:tc>
        <w:tc>
          <w:tcPr>
            <w:tcW w:w="641" w:type="dxa"/>
            <w:vAlign w:val="center"/>
          </w:tcPr>
          <w:p w14:paraId="42E8B9C0">
            <w:pPr>
              <w:pStyle w:val="30"/>
              <w:numPr>
                <w:ilvl w:val="0"/>
                <w:numId w:val="1"/>
              </w:numPr>
              <w:spacing w:line="400" w:lineRule="exact"/>
              <w:jc w:val="center"/>
              <w:rPr>
                <w:rFonts w:ascii="仿宋" w:eastAsia="仿宋" w:cs="仿宋"/>
                <w:sz w:val="24"/>
                <w:szCs w:val="24"/>
              </w:rPr>
            </w:pPr>
          </w:p>
        </w:tc>
        <w:tc>
          <w:tcPr>
            <w:tcW w:w="7728" w:type="dxa"/>
            <w:vAlign w:val="center"/>
          </w:tcPr>
          <w:p w14:paraId="59713708">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2.9.4 </w:t>
            </w:r>
            <w:r>
              <w:rPr>
                <w:rFonts w:hint="eastAsia" w:ascii="仿宋" w:eastAsia="仿宋" w:cs="仿宋"/>
                <w:sz w:val="24"/>
                <w:szCs w:val="24"/>
                <w:lang w:eastAsia="zh-CN"/>
              </w:rPr>
              <w:t>定位方式：高清实时监控；</w:t>
            </w:r>
          </w:p>
        </w:tc>
      </w:tr>
      <w:tr w14:paraId="71F3E7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3FFF2C87">
            <w:pPr>
              <w:widowControl/>
              <w:spacing w:line="400" w:lineRule="exact"/>
              <w:ind w:left="0" w:leftChars="0" w:firstLine="0" w:firstLineChars="0"/>
              <w:jc w:val="center"/>
              <w:rPr>
                <w:rFonts w:ascii="仿宋" w:eastAsia="仿宋" w:cs="仿宋"/>
                <w:sz w:val="24"/>
                <w:szCs w:val="24"/>
                <w:lang w:eastAsia="zh-CN"/>
              </w:rPr>
            </w:pPr>
            <w:r>
              <w:rPr>
                <w:rFonts w:ascii="仿宋" w:eastAsia="仿宋" w:cs="仿宋"/>
                <w:sz w:val="24"/>
                <w:szCs w:val="24"/>
              </w:rPr>
              <w:t>▲</w:t>
            </w:r>
          </w:p>
        </w:tc>
        <w:tc>
          <w:tcPr>
            <w:tcW w:w="641" w:type="dxa"/>
            <w:vAlign w:val="center"/>
          </w:tcPr>
          <w:p w14:paraId="62FC771C">
            <w:pPr>
              <w:pStyle w:val="30"/>
              <w:numPr>
                <w:ilvl w:val="0"/>
                <w:numId w:val="1"/>
              </w:numPr>
              <w:spacing w:line="400" w:lineRule="exact"/>
              <w:jc w:val="center"/>
              <w:rPr>
                <w:rFonts w:ascii="仿宋" w:eastAsia="仿宋" w:cs="仿宋"/>
                <w:sz w:val="24"/>
                <w:szCs w:val="24"/>
              </w:rPr>
            </w:pPr>
          </w:p>
        </w:tc>
        <w:tc>
          <w:tcPr>
            <w:tcW w:w="7728" w:type="dxa"/>
            <w:vAlign w:val="center"/>
          </w:tcPr>
          <w:p w14:paraId="6912BE97">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2.10 </w:t>
            </w:r>
            <w:r>
              <w:rPr>
                <w:rFonts w:hint="eastAsia" w:ascii="仿宋" w:eastAsia="仿宋" w:cs="仿宋"/>
                <w:sz w:val="24"/>
                <w:szCs w:val="24"/>
                <w:lang w:eastAsia="zh-CN"/>
              </w:rPr>
              <w:t>探测器：≥90mm×1</w:t>
            </w:r>
            <w:r>
              <w:rPr>
                <w:rFonts w:hint="eastAsia" w:ascii="仿宋" w:eastAsia="仿宋" w:cs="仿宋"/>
                <w:sz w:val="24"/>
                <w:szCs w:val="24"/>
                <w:lang w:val="en-US" w:eastAsia="zh-CN"/>
              </w:rPr>
              <w:t>2</w:t>
            </w:r>
            <w:r>
              <w:rPr>
                <w:rFonts w:hint="eastAsia" w:ascii="仿宋" w:eastAsia="仿宋" w:cs="仿宋"/>
                <w:sz w:val="24"/>
                <w:szCs w:val="24"/>
                <w:lang w:eastAsia="zh-CN"/>
              </w:rPr>
              <w:t>0mm、动态数字化平板/面阵CCD数字化探测器；</w:t>
            </w:r>
          </w:p>
        </w:tc>
      </w:tr>
      <w:tr w14:paraId="16ED7C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3F94DA9E">
            <w:pPr>
              <w:widowControl/>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562F6D5D">
            <w:pPr>
              <w:pStyle w:val="30"/>
              <w:numPr>
                <w:ilvl w:val="0"/>
                <w:numId w:val="1"/>
              </w:numPr>
              <w:spacing w:line="400" w:lineRule="exact"/>
              <w:jc w:val="center"/>
              <w:rPr>
                <w:rFonts w:ascii="仿宋" w:eastAsia="仿宋" w:cs="仿宋"/>
                <w:sz w:val="24"/>
                <w:szCs w:val="24"/>
              </w:rPr>
            </w:pPr>
          </w:p>
        </w:tc>
        <w:tc>
          <w:tcPr>
            <w:tcW w:w="7728" w:type="dxa"/>
            <w:vAlign w:val="center"/>
          </w:tcPr>
          <w:p w14:paraId="002AAACB">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2.11 </w:t>
            </w:r>
            <w:r>
              <w:rPr>
                <w:rFonts w:hint="eastAsia" w:ascii="仿宋" w:eastAsia="仿宋" w:cs="仿宋"/>
                <w:sz w:val="24"/>
                <w:szCs w:val="24"/>
                <w:lang w:eastAsia="zh-CN"/>
              </w:rPr>
              <w:t>支持自动ROI锁定；</w:t>
            </w:r>
          </w:p>
        </w:tc>
      </w:tr>
      <w:tr w14:paraId="08B829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69" w:type="dxa"/>
            <w:vAlign w:val="center"/>
          </w:tcPr>
          <w:p w14:paraId="75F5484D">
            <w:pPr>
              <w:widowControl/>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435A6B6C">
            <w:pPr>
              <w:pStyle w:val="30"/>
              <w:numPr>
                <w:ilvl w:val="0"/>
                <w:numId w:val="1"/>
              </w:numPr>
              <w:spacing w:line="400" w:lineRule="exact"/>
              <w:jc w:val="center"/>
              <w:rPr>
                <w:rFonts w:ascii="仿宋" w:eastAsia="仿宋" w:cs="仿宋"/>
                <w:sz w:val="24"/>
                <w:szCs w:val="24"/>
              </w:rPr>
            </w:pPr>
          </w:p>
        </w:tc>
        <w:tc>
          <w:tcPr>
            <w:tcW w:w="7728" w:type="dxa"/>
            <w:vAlign w:val="center"/>
          </w:tcPr>
          <w:p w14:paraId="1ED28AC0">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2.12 </w:t>
            </w:r>
            <w:r>
              <w:rPr>
                <w:rFonts w:ascii="仿宋" w:eastAsia="仿宋" w:cs="仿宋"/>
                <w:sz w:val="24"/>
                <w:szCs w:val="24"/>
                <w:lang w:eastAsia="zh-CN"/>
              </w:rPr>
              <w:t>支持全自动QA模体校准、空气校准、系统质控校准</w:t>
            </w:r>
            <w:r>
              <w:rPr>
                <w:rFonts w:hint="eastAsia" w:ascii="仿宋" w:eastAsia="仿宋" w:cs="仿宋"/>
                <w:sz w:val="24"/>
                <w:szCs w:val="24"/>
                <w:lang w:eastAsia="zh-CN"/>
              </w:rPr>
              <w:t>；</w:t>
            </w:r>
          </w:p>
        </w:tc>
      </w:tr>
      <w:tr w14:paraId="2A841B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4" w:hRule="atLeast"/>
        </w:trPr>
        <w:tc>
          <w:tcPr>
            <w:tcW w:w="769" w:type="dxa"/>
            <w:vAlign w:val="center"/>
          </w:tcPr>
          <w:p w14:paraId="5AC230FF">
            <w:pPr>
              <w:widowControl/>
              <w:spacing w:line="400" w:lineRule="exact"/>
              <w:ind w:left="0" w:leftChars="0" w:firstLine="0" w:firstLineChars="0"/>
              <w:jc w:val="center"/>
              <w:rPr>
                <w:rFonts w:ascii="仿宋" w:eastAsia="仿宋" w:cs="仿宋"/>
                <w:sz w:val="24"/>
              </w:rPr>
            </w:pPr>
          </w:p>
        </w:tc>
        <w:tc>
          <w:tcPr>
            <w:tcW w:w="641" w:type="dxa"/>
            <w:vAlign w:val="center"/>
          </w:tcPr>
          <w:p w14:paraId="53495B25">
            <w:pPr>
              <w:pStyle w:val="30"/>
              <w:numPr>
                <w:ilvl w:val="0"/>
                <w:numId w:val="1"/>
              </w:numPr>
              <w:spacing w:line="400" w:lineRule="exact"/>
              <w:jc w:val="center"/>
              <w:rPr>
                <w:rFonts w:ascii="仿宋" w:eastAsia="仿宋" w:cs="仿宋"/>
                <w:sz w:val="24"/>
                <w:szCs w:val="24"/>
              </w:rPr>
            </w:pPr>
          </w:p>
        </w:tc>
        <w:tc>
          <w:tcPr>
            <w:tcW w:w="7728" w:type="dxa"/>
            <w:vAlign w:val="center"/>
          </w:tcPr>
          <w:p w14:paraId="09B55F5F">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2.13 </w:t>
            </w:r>
            <w:r>
              <w:rPr>
                <w:rFonts w:ascii="仿宋" w:eastAsia="仿宋" w:cs="仿宋"/>
                <w:sz w:val="24"/>
                <w:szCs w:val="24"/>
                <w:lang w:eastAsia="zh-CN"/>
              </w:rPr>
              <w:t>测量</w:t>
            </w:r>
            <w:r>
              <w:rPr>
                <w:rFonts w:hint="eastAsia" w:ascii="仿宋" w:eastAsia="仿宋" w:cs="仿宋"/>
                <w:sz w:val="24"/>
                <w:szCs w:val="24"/>
                <w:lang w:eastAsia="zh-CN"/>
              </w:rPr>
              <w:t>指标：</w:t>
            </w:r>
          </w:p>
          <w:p w14:paraId="5E38D138">
            <w:pPr>
              <w:pStyle w:val="30"/>
              <w:spacing w:line="400" w:lineRule="exact"/>
              <w:rPr>
                <w:rFonts w:ascii="仿宋" w:eastAsia="仿宋" w:cs="仿宋"/>
                <w:sz w:val="24"/>
                <w:szCs w:val="24"/>
                <w:lang w:val="en-US" w:eastAsia="zh-CN"/>
              </w:rPr>
            </w:pPr>
            <w:r>
              <w:rPr>
                <w:rFonts w:hint="eastAsia" w:ascii="仿宋" w:eastAsia="仿宋" w:cs="仿宋"/>
                <w:sz w:val="24"/>
                <w:szCs w:val="24"/>
                <w:lang w:val="en-US" w:eastAsia="zh-CN"/>
              </w:rPr>
              <w:t xml:space="preserve">2.13.1 </w:t>
            </w:r>
            <w:r>
              <w:rPr>
                <w:rFonts w:hint="eastAsia" w:ascii="仿宋" w:eastAsia="仿宋" w:cs="仿宋"/>
                <w:sz w:val="24"/>
                <w:szCs w:val="24"/>
                <w:lang w:eastAsia="zh-CN"/>
              </w:rPr>
              <w:t>基础测量参数：成人：T/Z/BMD/BMC/FRAX骨折风险评估；</w:t>
            </w:r>
          </w:p>
        </w:tc>
      </w:tr>
      <w:tr w14:paraId="7C3B2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4" w:hRule="atLeast"/>
        </w:trPr>
        <w:tc>
          <w:tcPr>
            <w:tcW w:w="769" w:type="dxa"/>
            <w:vAlign w:val="center"/>
          </w:tcPr>
          <w:p w14:paraId="07B1664C">
            <w:pPr>
              <w:widowControl/>
              <w:spacing w:line="400" w:lineRule="exact"/>
              <w:ind w:left="0" w:leftChars="0" w:firstLine="0" w:firstLineChars="0"/>
              <w:jc w:val="center"/>
              <w:rPr>
                <w:rFonts w:ascii="仿宋" w:eastAsia="仿宋" w:cs="仿宋"/>
                <w:sz w:val="24"/>
              </w:rPr>
            </w:pPr>
          </w:p>
        </w:tc>
        <w:tc>
          <w:tcPr>
            <w:tcW w:w="641" w:type="dxa"/>
            <w:vAlign w:val="center"/>
          </w:tcPr>
          <w:p w14:paraId="59389DF9">
            <w:pPr>
              <w:pStyle w:val="30"/>
              <w:numPr>
                <w:ilvl w:val="0"/>
                <w:numId w:val="1"/>
              </w:numPr>
              <w:spacing w:line="400" w:lineRule="exact"/>
              <w:jc w:val="center"/>
              <w:rPr>
                <w:rFonts w:ascii="仿宋" w:eastAsia="仿宋" w:cs="仿宋"/>
                <w:sz w:val="24"/>
                <w:szCs w:val="24"/>
              </w:rPr>
            </w:pPr>
          </w:p>
        </w:tc>
        <w:tc>
          <w:tcPr>
            <w:tcW w:w="7728" w:type="dxa"/>
            <w:vAlign w:val="center"/>
          </w:tcPr>
          <w:p w14:paraId="73A21A71">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2.13.2 </w:t>
            </w:r>
            <w:r>
              <w:rPr>
                <w:rFonts w:hint="eastAsia" w:ascii="仿宋" w:eastAsia="仿宋" w:cs="仿宋"/>
                <w:sz w:val="24"/>
                <w:szCs w:val="24"/>
                <w:lang w:eastAsia="zh-CN"/>
              </w:rPr>
              <w:t>数据库：中国人专用数据库</w:t>
            </w:r>
          </w:p>
        </w:tc>
      </w:tr>
      <w:tr w14:paraId="31733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4" w:hRule="atLeast"/>
        </w:trPr>
        <w:tc>
          <w:tcPr>
            <w:tcW w:w="769" w:type="dxa"/>
            <w:vAlign w:val="center"/>
          </w:tcPr>
          <w:p w14:paraId="63A19677">
            <w:pPr>
              <w:widowControl/>
              <w:spacing w:line="400" w:lineRule="exact"/>
              <w:ind w:left="0" w:leftChars="0" w:firstLine="0" w:firstLineChars="0"/>
              <w:jc w:val="center"/>
              <w:rPr>
                <w:rFonts w:ascii="仿宋" w:eastAsia="仿宋" w:cs="仿宋"/>
                <w:sz w:val="24"/>
              </w:rPr>
            </w:pPr>
          </w:p>
        </w:tc>
        <w:tc>
          <w:tcPr>
            <w:tcW w:w="641" w:type="dxa"/>
            <w:vAlign w:val="center"/>
          </w:tcPr>
          <w:p w14:paraId="0049AB04">
            <w:pPr>
              <w:pStyle w:val="30"/>
              <w:numPr>
                <w:ilvl w:val="0"/>
                <w:numId w:val="1"/>
              </w:numPr>
              <w:spacing w:line="400" w:lineRule="exact"/>
              <w:jc w:val="center"/>
              <w:rPr>
                <w:rFonts w:ascii="仿宋" w:eastAsia="仿宋" w:cs="仿宋"/>
                <w:sz w:val="24"/>
                <w:szCs w:val="24"/>
              </w:rPr>
            </w:pPr>
          </w:p>
        </w:tc>
        <w:tc>
          <w:tcPr>
            <w:tcW w:w="7728" w:type="dxa"/>
            <w:vAlign w:val="center"/>
          </w:tcPr>
          <w:p w14:paraId="69B62260">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2.13.3 </w:t>
            </w:r>
            <w:r>
              <w:rPr>
                <w:rFonts w:ascii="仿宋" w:eastAsia="仿宋" w:cs="仿宋"/>
                <w:sz w:val="24"/>
                <w:szCs w:val="24"/>
                <w:lang w:eastAsia="zh-CN"/>
              </w:rPr>
              <w:t>T/Z值一致性偏差</w:t>
            </w:r>
            <w:r>
              <w:rPr>
                <w:rFonts w:hint="eastAsia" w:ascii="宋体" w:eastAsia="宋体" w:cs="宋体"/>
                <w:sz w:val="24"/>
                <w:szCs w:val="24"/>
              </w:rPr>
              <w:t>≤±0.4</w:t>
            </w:r>
            <w:r>
              <w:rPr>
                <w:rFonts w:hint="eastAsia" w:ascii="宋体" w:eastAsia="宋体" w:cs="宋体"/>
                <w:sz w:val="24"/>
                <w:szCs w:val="24"/>
                <w:lang w:eastAsia="zh-CN"/>
              </w:rPr>
              <w:t>，</w:t>
            </w:r>
            <w:r>
              <w:rPr>
                <w:rFonts w:ascii="仿宋" w:eastAsia="仿宋" w:cs="仿宋"/>
                <w:sz w:val="24"/>
                <w:szCs w:val="24"/>
                <w:lang w:eastAsia="zh-CN"/>
              </w:rPr>
              <w:t>线性相关系数R</w:t>
            </w:r>
            <w:r>
              <w:rPr>
                <w:rFonts w:hint="eastAsia" w:ascii="宋体" w:eastAsia="宋体" w:cs="宋体"/>
                <w:sz w:val="24"/>
                <w:szCs w:val="24"/>
              </w:rPr>
              <w:t>≥0.999</w:t>
            </w:r>
            <w:r>
              <w:rPr>
                <w:rFonts w:hint="eastAsia" w:ascii="宋体" w:eastAsia="宋体" w:cs="宋体"/>
                <w:sz w:val="24"/>
                <w:szCs w:val="24"/>
                <w:lang w:eastAsia="zh-CN"/>
              </w:rPr>
              <w:t>；</w:t>
            </w:r>
          </w:p>
        </w:tc>
      </w:tr>
      <w:tr w14:paraId="4A4547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atLeast"/>
        </w:trPr>
        <w:tc>
          <w:tcPr>
            <w:tcW w:w="769" w:type="dxa"/>
            <w:vAlign w:val="center"/>
          </w:tcPr>
          <w:p w14:paraId="66EAE131">
            <w:pPr>
              <w:widowControl/>
              <w:spacing w:line="400" w:lineRule="exact"/>
              <w:ind w:left="0" w:leftChars="0" w:firstLine="0" w:firstLineChars="0"/>
              <w:jc w:val="center"/>
              <w:rPr>
                <w:rFonts w:ascii="仿宋" w:eastAsia="仿宋" w:cs="仿宋"/>
                <w:sz w:val="24"/>
                <w:szCs w:val="24"/>
                <w:lang w:eastAsia="zh-CN"/>
              </w:rPr>
            </w:pPr>
            <w:r>
              <w:rPr>
                <w:rFonts w:ascii="仿宋" w:eastAsia="仿宋" w:cs="仿宋"/>
                <w:sz w:val="24"/>
                <w:szCs w:val="24"/>
              </w:rPr>
              <w:t>▲</w:t>
            </w:r>
          </w:p>
        </w:tc>
        <w:tc>
          <w:tcPr>
            <w:tcW w:w="641" w:type="dxa"/>
            <w:vAlign w:val="center"/>
          </w:tcPr>
          <w:p w14:paraId="2EEE87BB">
            <w:pPr>
              <w:pStyle w:val="30"/>
              <w:numPr>
                <w:ilvl w:val="0"/>
                <w:numId w:val="1"/>
              </w:numPr>
              <w:spacing w:line="400" w:lineRule="exact"/>
              <w:jc w:val="center"/>
              <w:rPr>
                <w:rFonts w:ascii="仿宋" w:eastAsia="仿宋" w:cs="仿宋"/>
                <w:sz w:val="24"/>
                <w:szCs w:val="24"/>
              </w:rPr>
            </w:pPr>
          </w:p>
        </w:tc>
        <w:tc>
          <w:tcPr>
            <w:tcW w:w="7728" w:type="dxa"/>
            <w:vAlign w:val="center"/>
          </w:tcPr>
          <w:p w14:paraId="0FCB9AEF">
            <w:pPr>
              <w:pStyle w:val="30"/>
              <w:spacing w:line="400" w:lineRule="exact"/>
              <w:rPr>
                <w:rFonts w:hint="eastAsia" w:ascii="仿宋" w:eastAsia="仿宋" w:cs="仿宋"/>
                <w:sz w:val="24"/>
                <w:szCs w:val="24"/>
                <w:lang w:val="en-US" w:eastAsia="zh-CN"/>
              </w:rPr>
            </w:pPr>
            <w:r>
              <w:rPr>
                <w:rFonts w:hint="eastAsia" w:ascii="仿宋" w:eastAsia="仿宋" w:cs="仿宋"/>
                <w:sz w:val="24"/>
                <w:szCs w:val="24"/>
                <w:lang w:val="en-US" w:eastAsia="zh-CN"/>
              </w:rPr>
              <w:t xml:space="preserve">2.14 </w:t>
            </w:r>
            <w:r>
              <w:rPr>
                <w:rFonts w:hint="eastAsia" w:ascii="仿宋" w:eastAsia="仿宋" w:cs="仿宋"/>
                <w:sz w:val="24"/>
                <w:szCs w:val="24"/>
                <w:lang w:eastAsia="zh-CN"/>
              </w:rPr>
              <w:t>准确度误差≤</w:t>
            </w:r>
            <w:r>
              <w:rPr>
                <w:rFonts w:hint="eastAsia" w:ascii="仿宋" w:eastAsia="仿宋" w:cs="仿宋"/>
                <w:sz w:val="24"/>
                <w:szCs w:val="24"/>
                <w:lang w:val="en-US" w:eastAsia="zh-CN"/>
              </w:rPr>
              <w:t>1</w:t>
            </w:r>
            <w:r>
              <w:rPr>
                <w:rFonts w:hint="eastAsia" w:ascii="仿宋" w:eastAsia="仿宋" w:cs="仿宋"/>
                <w:sz w:val="24"/>
                <w:szCs w:val="24"/>
                <w:lang w:eastAsia="zh-CN"/>
              </w:rPr>
              <w:t>%、CV≤0.8%</w:t>
            </w:r>
          </w:p>
        </w:tc>
      </w:tr>
      <w:tr w14:paraId="3C0458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atLeast"/>
        </w:trPr>
        <w:tc>
          <w:tcPr>
            <w:tcW w:w="769" w:type="dxa"/>
            <w:vAlign w:val="center"/>
          </w:tcPr>
          <w:p w14:paraId="41AB4D30">
            <w:pPr>
              <w:widowControl/>
              <w:spacing w:line="400" w:lineRule="exact"/>
              <w:ind w:left="0" w:leftChars="0" w:firstLine="0" w:firstLineChars="0"/>
              <w:jc w:val="center"/>
              <w:rPr>
                <w:rFonts w:ascii="仿宋" w:eastAsia="仿宋" w:cs="仿宋"/>
                <w:sz w:val="24"/>
                <w:szCs w:val="24"/>
              </w:rPr>
            </w:pPr>
            <w:r>
              <w:rPr>
                <w:rFonts w:ascii="仿宋" w:eastAsia="仿宋" w:cs="仿宋"/>
                <w:sz w:val="24"/>
                <w:szCs w:val="24"/>
              </w:rPr>
              <w:t>▲</w:t>
            </w:r>
          </w:p>
        </w:tc>
        <w:tc>
          <w:tcPr>
            <w:tcW w:w="641" w:type="dxa"/>
            <w:vAlign w:val="center"/>
          </w:tcPr>
          <w:p w14:paraId="34F9CA01">
            <w:pPr>
              <w:pStyle w:val="30"/>
              <w:numPr>
                <w:ilvl w:val="0"/>
                <w:numId w:val="1"/>
              </w:numPr>
              <w:spacing w:line="400" w:lineRule="exact"/>
              <w:jc w:val="center"/>
              <w:rPr>
                <w:rFonts w:ascii="仿宋" w:eastAsia="仿宋" w:cs="仿宋"/>
                <w:sz w:val="24"/>
                <w:szCs w:val="24"/>
              </w:rPr>
            </w:pPr>
          </w:p>
        </w:tc>
        <w:tc>
          <w:tcPr>
            <w:tcW w:w="7728" w:type="dxa"/>
            <w:vAlign w:val="center"/>
          </w:tcPr>
          <w:p w14:paraId="0B8DDD12">
            <w:pPr>
              <w:pStyle w:val="30"/>
              <w:spacing w:line="400" w:lineRule="exact"/>
              <w:rPr>
                <w:rFonts w:hint="eastAsia" w:ascii="仿宋" w:eastAsia="仿宋" w:cs="仿宋"/>
                <w:sz w:val="24"/>
                <w:szCs w:val="24"/>
                <w:lang w:eastAsia="zh-CN"/>
              </w:rPr>
            </w:pPr>
            <w:r>
              <w:rPr>
                <w:rFonts w:hint="eastAsia" w:ascii="仿宋" w:eastAsia="仿宋" w:cs="仿宋"/>
                <w:sz w:val="24"/>
                <w:szCs w:val="24"/>
                <w:lang w:val="en-US" w:eastAsia="zh-CN"/>
              </w:rPr>
              <w:t xml:space="preserve">2.15 </w:t>
            </w:r>
            <w:r>
              <w:rPr>
                <w:rFonts w:hint="eastAsia" w:ascii="仿宋" w:eastAsia="仿宋" w:cs="仿宋"/>
                <w:sz w:val="24"/>
                <w:szCs w:val="24"/>
                <w:lang w:eastAsia="zh-CN"/>
              </w:rPr>
              <w:t>儿童：</w:t>
            </w:r>
            <w:r>
              <w:rPr>
                <w:rFonts w:hint="eastAsia" w:ascii="仿宋" w:eastAsia="仿宋" w:cs="仿宋"/>
                <w:sz w:val="24"/>
                <w:szCs w:val="24"/>
                <w:u w:val="none"/>
                <w:lang w:eastAsia="zh-CN"/>
              </w:rPr>
              <w:t>具备</w:t>
            </w:r>
            <w:r>
              <w:rPr>
                <w:rFonts w:hint="eastAsia" w:ascii="仿宋" w:eastAsia="仿宋" w:cs="仿宋"/>
                <w:sz w:val="24"/>
                <w:szCs w:val="24"/>
                <w:u w:val="none"/>
                <w:lang w:val="en-US" w:eastAsia="zh-CN"/>
              </w:rPr>
              <w:t>AI骨密度分析、AI骨龄分析及身高预测</w:t>
            </w:r>
            <w:r>
              <w:rPr>
                <w:rFonts w:hint="eastAsia" w:ascii="仿宋" w:eastAsia="仿宋" w:cs="仿宋"/>
                <w:sz w:val="24"/>
                <w:szCs w:val="24"/>
                <w:u w:val="none"/>
                <w:lang w:eastAsia="zh-CN"/>
              </w:rPr>
              <w:t>；</w:t>
            </w:r>
          </w:p>
        </w:tc>
      </w:tr>
      <w:tr w14:paraId="138B9D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atLeast"/>
        </w:trPr>
        <w:tc>
          <w:tcPr>
            <w:tcW w:w="769" w:type="dxa"/>
            <w:vAlign w:val="center"/>
          </w:tcPr>
          <w:p w14:paraId="4A3EDF0A">
            <w:pPr>
              <w:widowControl/>
              <w:spacing w:line="400" w:lineRule="exact"/>
              <w:ind w:left="0" w:leftChars="0" w:firstLine="0" w:firstLineChars="0"/>
              <w:jc w:val="center"/>
              <w:rPr>
                <w:rFonts w:ascii="仿宋" w:eastAsia="仿宋" w:cs="仿宋"/>
                <w:sz w:val="24"/>
              </w:rPr>
            </w:pPr>
            <w:r>
              <w:rPr>
                <w:rFonts w:ascii="仿宋" w:eastAsia="仿宋" w:cs="仿宋"/>
                <w:sz w:val="24"/>
                <w:szCs w:val="24"/>
              </w:rPr>
              <w:t>▲</w:t>
            </w:r>
          </w:p>
        </w:tc>
        <w:tc>
          <w:tcPr>
            <w:tcW w:w="641" w:type="dxa"/>
            <w:vAlign w:val="center"/>
          </w:tcPr>
          <w:p w14:paraId="0C1D58B2">
            <w:pPr>
              <w:pStyle w:val="30"/>
              <w:numPr>
                <w:ilvl w:val="0"/>
                <w:numId w:val="1"/>
              </w:numPr>
              <w:spacing w:line="400" w:lineRule="exact"/>
              <w:jc w:val="center"/>
              <w:rPr>
                <w:rFonts w:ascii="仿宋" w:eastAsia="仿宋" w:cs="仿宋"/>
                <w:sz w:val="24"/>
                <w:szCs w:val="24"/>
              </w:rPr>
            </w:pPr>
          </w:p>
        </w:tc>
        <w:tc>
          <w:tcPr>
            <w:tcW w:w="7728" w:type="dxa"/>
            <w:vAlign w:val="center"/>
          </w:tcPr>
          <w:p w14:paraId="5871D2F5">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2.16 </w:t>
            </w:r>
            <w:r>
              <w:rPr>
                <w:rFonts w:hint="eastAsia" w:ascii="仿宋" w:eastAsia="仿宋" w:cs="仿宋"/>
                <w:sz w:val="24"/>
                <w:szCs w:val="24"/>
                <w:lang w:eastAsia="zh-CN"/>
              </w:rPr>
              <w:t>存储回顾：本地可存储</w:t>
            </w:r>
            <w:r>
              <w:rPr>
                <w:rFonts w:hint="eastAsia" w:ascii="仿宋" w:eastAsia="仿宋" w:cs="仿宋"/>
                <w:sz w:val="24"/>
                <w:szCs w:val="24"/>
                <w:u w:val="none"/>
                <w:lang w:eastAsia="zh-CN"/>
              </w:rPr>
              <w:t>≥</w:t>
            </w:r>
            <w:r>
              <w:rPr>
                <w:rFonts w:hint="eastAsia" w:ascii="仿宋" w:eastAsia="仿宋" w:cs="仿宋"/>
                <w:sz w:val="24"/>
                <w:szCs w:val="24"/>
                <w:u w:val="none"/>
                <w:lang w:val="en-US" w:eastAsia="zh-CN"/>
              </w:rPr>
              <w:t>5</w:t>
            </w:r>
            <w:r>
              <w:rPr>
                <w:rFonts w:hint="eastAsia" w:ascii="仿宋" w:eastAsia="仿宋" w:cs="仿宋"/>
                <w:sz w:val="24"/>
                <w:szCs w:val="24"/>
                <w:u w:val="none"/>
                <w:lang w:eastAsia="zh-CN"/>
              </w:rPr>
              <w:t>000</w:t>
            </w:r>
            <w:r>
              <w:rPr>
                <w:rFonts w:hint="eastAsia" w:ascii="仿宋" w:eastAsia="仿宋" w:cs="仿宋"/>
                <w:sz w:val="24"/>
                <w:szCs w:val="24"/>
                <w:lang w:eastAsia="zh-CN"/>
              </w:rPr>
              <w:t>份历史病人数据，支持批量导出、统计分析，并配备</w:t>
            </w:r>
            <w:r>
              <w:rPr>
                <w:rFonts w:hint="eastAsia" w:ascii="仿宋" w:eastAsia="仿宋" w:cs="仿宋"/>
                <w:sz w:val="24"/>
                <w:szCs w:val="24"/>
                <w:u w:val="none"/>
                <w:lang w:eastAsia="zh-CN"/>
              </w:rPr>
              <w:t>彩色激光打印机；</w:t>
            </w:r>
          </w:p>
        </w:tc>
      </w:tr>
      <w:tr w14:paraId="09FBE7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 w:hRule="atLeast"/>
        </w:trPr>
        <w:tc>
          <w:tcPr>
            <w:tcW w:w="769" w:type="dxa"/>
            <w:vAlign w:val="center"/>
          </w:tcPr>
          <w:p w14:paraId="66309813">
            <w:pPr>
              <w:pStyle w:val="30"/>
              <w:spacing w:line="400" w:lineRule="exact"/>
              <w:ind w:left="0" w:leftChars="0" w:firstLine="0" w:firstLineChars="0"/>
              <w:jc w:val="center"/>
              <w:rPr>
                <w:rFonts w:ascii="仿宋" w:eastAsia="仿宋" w:cs="仿宋"/>
                <w:sz w:val="24"/>
                <w:szCs w:val="24"/>
              </w:rPr>
            </w:pPr>
            <w:r>
              <w:rPr>
                <w:rFonts w:ascii="仿宋" w:eastAsia="仿宋" w:cs="仿宋"/>
                <w:sz w:val="24"/>
                <w:szCs w:val="24"/>
                <w:lang w:eastAsia="zh-CN"/>
              </w:rPr>
              <w:t>★</w:t>
            </w:r>
          </w:p>
        </w:tc>
        <w:tc>
          <w:tcPr>
            <w:tcW w:w="641" w:type="dxa"/>
            <w:vAlign w:val="center"/>
          </w:tcPr>
          <w:p w14:paraId="71B7B1CB">
            <w:pPr>
              <w:pStyle w:val="30"/>
              <w:numPr>
                <w:ilvl w:val="0"/>
                <w:numId w:val="1"/>
              </w:numPr>
              <w:spacing w:line="400" w:lineRule="exact"/>
              <w:jc w:val="center"/>
              <w:rPr>
                <w:rFonts w:ascii="仿宋" w:eastAsia="仿宋" w:cs="仿宋"/>
                <w:sz w:val="24"/>
                <w:szCs w:val="24"/>
              </w:rPr>
            </w:pPr>
          </w:p>
        </w:tc>
        <w:tc>
          <w:tcPr>
            <w:tcW w:w="7728" w:type="dxa"/>
            <w:vAlign w:val="center"/>
          </w:tcPr>
          <w:p w14:paraId="2E24DEB1">
            <w:pPr>
              <w:pStyle w:val="30"/>
              <w:spacing w:line="400" w:lineRule="exact"/>
              <w:rPr>
                <w:rFonts w:ascii="仿宋" w:eastAsia="仿宋" w:cs="仿宋"/>
                <w:sz w:val="24"/>
                <w:szCs w:val="24"/>
                <w:lang w:eastAsia="zh-CN"/>
              </w:rPr>
            </w:pPr>
            <w:r>
              <w:rPr>
                <w:rFonts w:hint="eastAsia" w:ascii="仿宋" w:eastAsia="仿宋" w:cs="仿宋"/>
                <w:sz w:val="24"/>
                <w:szCs w:val="24"/>
                <w:lang w:val="en-US" w:eastAsia="zh-CN"/>
              </w:rPr>
              <w:t xml:space="preserve">2.17 </w:t>
            </w:r>
            <w:r>
              <w:rPr>
                <w:rFonts w:ascii="仿宋" w:eastAsia="仿宋" w:cs="仿宋"/>
                <w:sz w:val="24"/>
                <w:szCs w:val="24"/>
                <w:lang w:eastAsia="zh-CN"/>
              </w:rPr>
              <w:t>可连接我院的</w:t>
            </w:r>
            <w:r>
              <w:rPr>
                <w:rFonts w:hint="eastAsia" w:ascii="仿宋" w:eastAsia="仿宋" w:cs="仿宋"/>
                <w:sz w:val="24"/>
                <w:szCs w:val="24"/>
                <w:lang w:val="en-US" w:eastAsia="zh-CN"/>
              </w:rPr>
              <w:t>PACS等</w:t>
            </w:r>
            <w:r>
              <w:rPr>
                <w:rFonts w:ascii="仿宋" w:eastAsia="仿宋" w:cs="仿宋"/>
                <w:sz w:val="24"/>
                <w:szCs w:val="24"/>
                <w:lang w:eastAsia="zh-CN"/>
              </w:rPr>
              <w:t>系统，</w:t>
            </w:r>
            <w:r>
              <w:rPr>
                <w:rFonts w:hint="eastAsia" w:ascii="仿宋" w:eastAsia="仿宋" w:cs="仿宋"/>
                <w:sz w:val="24"/>
                <w:szCs w:val="24"/>
                <w:lang w:eastAsia="zh-CN"/>
              </w:rPr>
              <w:t>支持DICOM3.0标准传输，系统对接调试、接口授权、培训等</w:t>
            </w:r>
            <w:r>
              <w:rPr>
                <w:rFonts w:ascii="仿宋" w:eastAsia="仿宋" w:cs="仿宋"/>
                <w:sz w:val="24"/>
                <w:szCs w:val="24"/>
                <w:lang w:eastAsia="zh-CN"/>
              </w:rPr>
              <w:t>所需的一切费用均包含在报价中。</w:t>
            </w:r>
          </w:p>
        </w:tc>
      </w:tr>
      <w:tr w14:paraId="369C96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89" w:hRule="atLeast"/>
        </w:trPr>
        <w:tc>
          <w:tcPr>
            <w:tcW w:w="769" w:type="dxa"/>
            <w:vAlign w:val="center"/>
          </w:tcPr>
          <w:p w14:paraId="300E798D">
            <w:pPr>
              <w:widowControl/>
              <w:spacing w:line="400" w:lineRule="exact"/>
              <w:jc w:val="center"/>
              <w:rPr>
                <w:rFonts w:ascii="仿宋" w:eastAsia="仿宋" w:cs="仿宋"/>
                <w:sz w:val="24"/>
              </w:rPr>
            </w:pPr>
          </w:p>
        </w:tc>
        <w:tc>
          <w:tcPr>
            <w:tcW w:w="641" w:type="dxa"/>
            <w:vAlign w:val="center"/>
          </w:tcPr>
          <w:p w14:paraId="31A40A3E">
            <w:pPr>
              <w:pStyle w:val="30"/>
              <w:numPr>
                <w:ilvl w:val="0"/>
                <w:numId w:val="1"/>
              </w:numPr>
              <w:spacing w:line="400" w:lineRule="exact"/>
              <w:jc w:val="center"/>
              <w:rPr>
                <w:rFonts w:ascii="仿宋" w:eastAsia="仿宋" w:cs="仿宋"/>
                <w:sz w:val="24"/>
                <w:szCs w:val="24"/>
              </w:rPr>
            </w:pPr>
          </w:p>
        </w:tc>
        <w:tc>
          <w:tcPr>
            <w:tcW w:w="7728" w:type="dxa"/>
            <w:vAlign w:val="center"/>
          </w:tcPr>
          <w:p w14:paraId="025E5D5F">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ascii="仿宋" w:eastAsia="仿宋" w:cs="仿宋"/>
                <w:sz w:val="24"/>
                <w:szCs w:val="24"/>
                <w:lang w:eastAsia="zh-CN"/>
              </w:rPr>
            </w:pPr>
            <w:r>
              <w:rPr>
                <w:rFonts w:hint="default" w:ascii="仿宋" w:eastAsia="仿宋" w:cs="仿宋"/>
                <w:sz w:val="24"/>
                <w:szCs w:val="24"/>
                <w:lang w:val="en-US" w:eastAsia="zh-CN"/>
              </w:rPr>
              <w:t>三</w:t>
            </w:r>
            <w:r>
              <w:rPr>
                <w:rFonts w:hint="eastAsia" w:ascii="仿宋" w:eastAsia="仿宋" w:cs="仿宋"/>
                <w:sz w:val="24"/>
                <w:szCs w:val="24"/>
                <w:lang w:val="en-US" w:eastAsia="zh-CN"/>
              </w:rPr>
              <w:t>、</w:t>
            </w:r>
            <w:r>
              <w:rPr>
                <w:rFonts w:ascii="仿宋" w:eastAsia="仿宋" w:cs="仿宋"/>
                <w:sz w:val="24"/>
                <w:szCs w:val="24"/>
                <w:lang w:eastAsia="zh-CN"/>
              </w:rPr>
              <w:t>主要配置清单：</w:t>
            </w:r>
          </w:p>
          <w:tbl>
            <w:tblPr>
              <w:tblStyle w:val="11"/>
              <w:tblW w:w="0" w:type="auto"/>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3"/>
              <w:gridCol w:w="3939"/>
              <w:gridCol w:w="948"/>
              <w:gridCol w:w="948"/>
            </w:tblGrid>
            <w:tr w14:paraId="2F3A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0D7AF928">
                  <w:pPr>
                    <w:pStyle w:val="30"/>
                    <w:jc w:val="center"/>
                    <w:rPr>
                      <w:rFonts w:hint="eastAsia" w:ascii="仿宋" w:hAnsi="仿宋" w:eastAsia="仿宋" w:cs="仿宋"/>
                      <w:sz w:val="24"/>
                      <w:szCs w:val="24"/>
                    </w:rPr>
                  </w:pPr>
                  <w:r>
                    <w:rPr>
                      <w:rFonts w:hint="eastAsia" w:ascii="仿宋" w:hAnsi="仿宋" w:eastAsia="仿宋" w:cs="仿宋"/>
                      <w:b/>
                      <w:sz w:val="24"/>
                      <w:szCs w:val="24"/>
                    </w:rPr>
                    <w:t>序号</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46D61A1D">
                  <w:pPr>
                    <w:pStyle w:val="30"/>
                    <w:jc w:val="center"/>
                    <w:rPr>
                      <w:rFonts w:hint="eastAsia" w:ascii="仿宋" w:hAnsi="仿宋" w:eastAsia="仿宋" w:cs="仿宋"/>
                      <w:sz w:val="24"/>
                      <w:szCs w:val="24"/>
                      <w:lang w:val="en-US" w:eastAsia="zh-CN"/>
                    </w:rPr>
                  </w:pPr>
                  <w:r>
                    <w:rPr>
                      <w:rFonts w:hint="eastAsia" w:ascii="仿宋" w:hAnsi="仿宋" w:eastAsia="仿宋" w:cs="仿宋"/>
                      <w:b/>
                      <w:sz w:val="24"/>
                      <w:szCs w:val="24"/>
                      <w:lang w:val="en-US" w:eastAsia="zh-CN"/>
                    </w:rPr>
                    <w:t>配置名称</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A69B2BB">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1E1B02B4">
                  <w:pPr>
                    <w:pStyle w:val="3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数量</w:t>
                  </w:r>
                </w:p>
              </w:tc>
            </w:tr>
            <w:tr w14:paraId="2B20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0633F6ED">
                  <w:pPr>
                    <w:pStyle w:val="30"/>
                    <w:jc w:val="center"/>
                    <w:rPr>
                      <w:rFonts w:hint="eastAsia" w:ascii="仿宋" w:hAnsi="仿宋" w:eastAsia="仿宋" w:cs="仿宋"/>
                      <w:sz w:val="24"/>
                      <w:szCs w:val="24"/>
                    </w:rPr>
                  </w:pPr>
                  <w:r>
                    <w:rPr>
                      <w:rFonts w:hint="eastAsia" w:ascii="仿宋" w:hAnsi="仿宋" w:eastAsia="仿宋" w:cs="仿宋"/>
                      <w:sz w:val="24"/>
                      <w:szCs w:val="24"/>
                    </w:rPr>
                    <w:t>1</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495C2505">
                  <w:pPr>
                    <w:pStyle w:val="31"/>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主机</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5CAD1668">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台</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49714D75">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01074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0DF42A74">
                  <w:pPr>
                    <w:pStyle w:val="30"/>
                    <w:jc w:val="center"/>
                    <w:rPr>
                      <w:rFonts w:hint="eastAsia" w:ascii="仿宋" w:hAnsi="仿宋" w:eastAsia="仿宋" w:cs="仿宋"/>
                      <w:sz w:val="24"/>
                      <w:szCs w:val="24"/>
                    </w:rPr>
                  </w:pPr>
                  <w:r>
                    <w:rPr>
                      <w:rFonts w:hint="eastAsia" w:ascii="仿宋" w:hAnsi="仿宋" w:eastAsia="仿宋" w:cs="仿宋"/>
                      <w:sz w:val="24"/>
                      <w:szCs w:val="24"/>
                    </w:rPr>
                    <w:t>2</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27818E3">
                  <w:pPr>
                    <w:pStyle w:val="31"/>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工作站</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737F527C">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台</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47298E86">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003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62CA0739">
                  <w:pPr>
                    <w:pStyle w:val="30"/>
                    <w:jc w:val="center"/>
                    <w:rPr>
                      <w:rFonts w:hint="eastAsia" w:ascii="仿宋" w:hAnsi="仿宋" w:eastAsia="仿宋" w:cs="仿宋"/>
                      <w:sz w:val="24"/>
                      <w:szCs w:val="24"/>
                    </w:rPr>
                  </w:pPr>
                  <w:r>
                    <w:rPr>
                      <w:rFonts w:hint="eastAsia" w:ascii="仿宋" w:hAnsi="仿宋" w:eastAsia="仿宋" w:cs="仿宋"/>
                      <w:sz w:val="24"/>
                      <w:szCs w:val="24"/>
                    </w:rPr>
                    <w:t>3</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E455C5C">
                  <w:pPr>
                    <w:pStyle w:val="31"/>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校准模体</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017C82F4">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个</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5756AB7E">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65EA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795A12D3">
                  <w:pPr>
                    <w:pStyle w:val="30"/>
                    <w:jc w:val="center"/>
                    <w:rPr>
                      <w:rFonts w:hint="eastAsia" w:ascii="仿宋" w:hAnsi="仿宋" w:eastAsia="仿宋" w:cs="仿宋"/>
                      <w:sz w:val="24"/>
                      <w:szCs w:val="24"/>
                    </w:rPr>
                  </w:pPr>
                  <w:r>
                    <w:rPr>
                      <w:rFonts w:hint="eastAsia" w:ascii="仿宋" w:hAnsi="仿宋" w:eastAsia="仿宋" w:cs="仿宋"/>
                      <w:sz w:val="24"/>
                      <w:szCs w:val="24"/>
                    </w:rPr>
                    <w:t>4</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542E6F46">
                  <w:pPr>
                    <w:pStyle w:val="31"/>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彩色激光打印机</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3364C078">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台</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3AA97226">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836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66E87BEE">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790B60FC">
                  <w:pPr>
                    <w:pStyle w:val="31"/>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防护配件</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7553054E">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套</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5BD13C08">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r w14:paraId="44D20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193FC28E">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64F416A1">
                  <w:pPr>
                    <w:pStyle w:val="30"/>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无线远程曝光遥控器</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FE55975">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个</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3A2605F7">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422B5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03"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418691B3">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3939"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795532B">
                  <w:pPr>
                    <w:pStyle w:val="30"/>
                    <w:jc w:val="both"/>
                    <w:rPr>
                      <w:rFonts w:hint="eastAsia" w:ascii="仿宋" w:hAnsi="仿宋" w:eastAsia="仿宋" w:cs="仿宋"/>
                      <w:sz w:val="24"/>
                      <w:szCs w:val="24"/>
                      <w:lang w:val="en-US" w:eastAsia="zh-CN"/>
                    </w:rPr>
                  </w:pPr>
                  <w:r>
                    <w:rPr>
                      <w:rFonts w:hint="eastAsia" w:ascii="仿宋" w:hAnsi="仿宋" w:eastAsia="仿宋" w:cs="仿宋"/>
                      <w:sz w:val="24"/>
                      <w:szCs w:val="24"/>
                      <w:lang w:eastAsia="zh-CN"/>
                    </w:rPr>
                    <w:t>移动推车</w:t>
                  </w:r>
                  <w:r>
                    <w:rPr>
                      <w:rFonts w:hint="eastAsia" w:ascii="仿宋" w:hAnsi="仿宋" w:eastAsia="仿宋" w:cs="仿宋"/>
                      <w:sz w:val="24"/>
                      <w:szCs w:val="24"/>
                      <w:lang w:val="en-US" w:eastAsia="zh-CN"/>
                    </w:rPr>
                    <w:t>/高强度便携拉杆箱</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20EC8F8A">
                  <w:pPr>
                    <w:pStyle w:val="3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台</w:t>
                  </w:r>
                </w:p>
              </w:tc>
              <w:tc>
                <w:tcPr>
                  <w:tcW w:w="948" w:type="dxa"/>
                  <w:tcBorders>
                    <w:top w:val="single" w:color="000000" w:sz="4" w:space="0"/>
                    <w:left w:val="single" w:color="000000" w:sz="4" w:space="0"/>
                    <w:bottom w:val="single" w:color="000000" w:sz="4" w:space="0"/>
                    <w:right w:val="single" w:color="000000" w:sz="4" w:space="0"/>
                  </w:tcBorders>
                  <w:tcMar>
                    <w:left w:w="105" w:type="dxa"/>
                    <w:right w:w="105" w:type="dxa"/>
                  </w:tcMar>
                  <w:vAlign w:val="center"/>
                </w:tcPr>
                <w:p w14:paraId="095CF972">
                  <w:pPr>
                    <w:pStyle w:val="3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67E1F9EB">
            <w:pPr>
              <w:pStyle w:val="30"/>
              <w:spacing w:line="400" w:lineRule="exact"/>
              <w:rPr>
                <w:rFonts w:ascii="仿宋" w:eastAsia="仿宋" w:cs="仿宋"/>
                <w:sz w:val="24"/>
                <w:szCs w:val="24"/>
                <w:lang w:eastAsia="zh-CN"/>
              </w:rPr>
            </w:pPr>
            <w:r>
              <w:rPr>
                <w:rFonts w:ascii="仿宋" w:eastAsia="仿宋" w:cs="仿宋"/>
                <w:sz w:val="24"/>
                <w:szCs w:val="24"/>
              </w:rPr>
              <w:t>以上</w:t>
            </w:r>
            <w:r>
              <w:rPr>
                <w:rFonts w:hint="default" w:ascii="仿宋" w:eastAsia="仿宋" w:cs="仿宋"/>
                <w:sz w:val="24"/>
                <w:szCs w:val="24"/>
                <w:lang w:val="en-US" w:eastAsia="zh-CN"/>
              </w:rPr>
              <w:t>配置</w:t>
            </w:r>
            <w:r>
              <w:rPr>
                <w:rFonts w:ascii="仿宋" w:eastAsia="仿宋" w:cs="仿宋"/>
                <w:sz w:val="24"/>
                <w:szCs w:val="24"/>
              </w:rPr>
              <w:t>不排除遗漏的可能性，供应商应自行添加必要的</w:t>
            </w:r>
            <w:r>
              <w:rPr>
                <w:rFonts w:hint="default" w:ascii="仿宋" w:eastAsia="仿宋" w:cs="仿宋"/>
                <w:sz w:val="24"/>
                <w:szCs w:val="24"/>
                <w:lang w:val="en-US" w:eastAsia="zh-CN"/>
              </w:rPr>
              <w:t>配置</w:t>
            </w:r>
            <w:r>
              <w:rPr>
                <w:rFonts w:ascii="仿宋" w:eastAsia="仿宋" w:cs="仿宋"/>
                <w:sz w:val="24"/>
                <w:szCs w:val="24"/>
              </w:rPr>
              <w:t>以保证设备</w:t>
            </w:r>
            <w:r>
              <w:rPr>
                <w:rFonts w:hint="default" w:ascii="仿宋" w:eastAsia="仿宋" w:cs="仿宋"/>
                <w:sz w:val="24"/>
                <w:szCs w:val="24"/>
                <w:lang w:val="en-US" w:eastAsia="zh-CN"/>
              </w:rPr>
              <w:t>能</w:t>
            </w:r>
            <w:r>
              <w:rPr>
                <w:rFonts w:ascii="仿宋" w:eastAsia="仿宋" w:cs="仿宋"/>
                <w:sz w:val="24"/>
                <w:szCs w:val="24"/>
              </w:rPr>
              <w:t>正常运转。</w:t>
            </w:r>
          </w:p>
        </w:tc>
      </w:tr>
      <w:tr w14:paraId="7AF521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65" w:hRule="atLeast"/>
        </w:trPr>
        <w:tc>
          <w:tcPr>
            <w:tcW w:w="769" w:type="dxa"/>
          </w:tcPr>
          <w:p w14:paraId="14A9BC3E">
            <w:pPr>
              <w:pStyle w:val="30"/>
              <w:spacing w:line="400" w:lineRule="exact"/>
              <w:rPr>
                <w:rFonts w:ascii="仿宋" w:eastAsia="仿宋" w:cs="仿宋"/>
                <w:sz w:val="24"/>
                <w:szCs w:val="24"/>
              </w:rPr>
            </w:pPr>
            <w:r>
              <w:rPr>
                <w:rFonts w:ascii="仿宋" w:eastAsia="仿宋" w:cs="仿宋"/>
                <w:sz w:val="24"/>
                <w:szCs w:val="24"/>
              </w:rPr>
              <w:t>说明</w:t>
            </w:r>
          </w:p>
        </w:tc>
        <w:tc>
          <w:tcPr>
            <w:tcW w:w="8369" w:type="dxa"/>
            <w:gridSpan w:val="2"/>
          </w:tcPr>
          <w:p w14:paraId="0F7C9A07">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ascii="仿宋" w:eastAsia="仿宋" w:cs="仿宋"/>
                <w:sz w:val="24"/>
                <w:szCs w:val="24"/>
              </w:rPr>
            </w:pPr>
            <w:r>
              <w:rPr>
                <w:rFonts w:ascii="仿宋" w:eastAsia="仿宋" w:cs="仿宋"/>
                <w:sz w:val="24"/>
                <w:szCs w:val="24"/>
              </w:rPr>
              <w:t xml:space="preserve">打“★”号条款为实质性条款，若有任何一条负偏离或不满足则导致投标无效。 </w:t>
            </w:r>
            <w:r>
              <w:rPr>
                <w:rFonts w:ascii="仿宋" w:eastAsia="仿宋" w:cs="仿宋"/>
                <w:sz w:val="24"/>
                <w:szCs w:val="24"/>
              </w:rPr>
              <w:br w:type="textWrapping"/>
            </w:r>
            <w:r>
              <w:rPr>
                <w:rFonts w:ascii="仿宋" w:eastAsia="仿宋" w:cs="仿宋"/>
                <w:sz w:val="24"/>
                <w:szCs w:val="24"/>
              </w:rPr>
              <w:t>打“▲”号条款为重要技术参数，若有部分“▲”条款未响应或不满足，将导致其响应性评审加重扣分，但不作为无效投标条款。</w:t>
            </w:r>
          </w:p>
        </w:tc>
      </w:tr>
    </w:tbl>
    <w:p w14:paraId="0B004AC9">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r>
        <w:rPr>
          <w:rFonts w:hint="eastAsia" w:ascii="仿宋_GB2312" w:hAnsi="仿宋"/>
          <w:b/>
          <w:szCs w:val="32"/>
        </w:rPr>
        <w:t>评审因素及对应的分值、权重：</w:t>
      </w:r>
    </w:p>
    <w:tbl>
      <w:tblPr>
        <w:tblStyle w:val="11"/>
        <w:tblW w:w="922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7"/>
        <w:gridCol w:w="1653"/>
        <w:gridCol w:w="6752"/>
      </w:tblGrid>
      <w:tr w14:paraId="6D350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6" w:hRule="atLeast"/>
          <w:jc w:val="center"/>
        </w:trPr>
        <w:tc>
          <w:tcPr>
            <w:tcW w:w="817" w:type="dxa"/>
            <w:noWrap w:val="0"/>
            <w:vAlign w:val="top"/>
          </w:tcPr>
          <w:p w14:paraId="74E641C9">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评审</w:t>
            </w:r>
          </w:p>
          <w:p w14:paraId="794993E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因素</w:t>
            </w:r>
          </w:p>
        </w:tc>
        <w:tc>
          <w:tcPr>
            <w:tcW w:w="8405" w:type="dxa"/>
            <w:gridSpan w:val="2"/>
            <w:noWrap w:val="0"/>
            <w:vAlign w:val="top"/>
          </w:tcPr>
          <w:p w14:paraId="16D26D34">
            <w:pPr>
              <w:spacing w:line="240" w:lineRule="auto"/>
              <w:jc w:val="center"/>
              <w:rPr>
                <w:sz w:val="28"/>
                <w:szCs w:val="28"/>
              </w:rPr>
            </w:pPr>
            <w:r>
              <w:rPr>
                <w:sz w:val="28"/>
                <w:szCs w:val="28"/>
              </w:rPr>
              <w:t>评审标准</w:t>
            </w:r>
          </w:p>
        </w:tc>
      </w:tr>
      <w:tr w14:paraId="17E2A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noWrap w:val="0"/>
            <w:vAlign w:val="top"/>
          </w:tcPr>
          <w:p w14:paraId="613DFFD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分值</w:t>
            </w:r>
          </w:p>
          <w:p w14:paraId="793ADF05">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构成</w:t>
            </w:r>
          </w:p>
        </w:tc>
        <w:tc>
          <w:tcPr>
            <w:tcW w:w="8405" w:type="dxa"/>
            <w:gridSpan w:val="2"/>
            <w:noWrap w:val="0"/>
            <w:vAlign w:val="top"/>
          </w:tcPr>
          <w:p w14:paraId="108EF29C">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技术部分60.0分</w:t>
            </w:r>
          </w:p>
          <w:p w14:paraId="0DF2287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商务部分10.0分</w:t>
            </w:r>
          </w:p>
          <w:p w14:paraId="5B2CA1F0">
            <w:pPr>
              <w:keepNext w:val="0"/>
              <w:keepLines w:val="0"/>
              <w:suppressLineNumbers w:val="0"/>
              <w:snapToGrid w:val="0"/>
              <w:spacing w:before="0" w:beforeAutospacing="0" w:after="0" w:afterAutospacing="0" w:line="240" w:lineRule="auto"/>
              <w:ind w:left="0" w:leftChars="0" w:right="0" w:firstLine="0" w:firstLineChars="0"/>
              <w:rPr>
                <w:sz w:val="28"/>
                <w:szCs w:val="28"/>
              </w:rPr>
            </w:pPr>
            <w:r>
              <w:rPr>
                <w:rFonts w:hint="eastAsia" w:ascii="仿宋" w:hAnsi="仿宋" w:eastAsia="仿宋" w:cs="仿宋"/>
                <w:color w:val="auto"/>
                <w:sz w:val="28"/>
                <w:szCs w:val="28"/>
                <w:highlight w:val="none"/>
                <w:shd w:val="clear" w:color="auto" w:fill="auto"/>
                <w:lang w:val="en-US" w:eastAsia="zh-CN"/>
              </w:rPr>
              <w:t>报价得分30.0分</w:t>
            </w:r>
          </w:p>
        </w:tc>
      </w:tr>
      <w:tr w14:paraId="5BFC3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vMerge w:val="restart"/>
            <w:noWrap w:val="0"/>
            <w:vAlign w:val="top"/>
          </w:tcPr>
          <w:p w14:paraId="47003D7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技术</w:t>
            </w:r>
          </w:p>
          <w:p w14:paraId="5ADE4741">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部分</w:t>
            </w:r>
          </w:p>
        </w:tc>
        <w:tc>
          <w:tcPr>
            <w:tcW w:w="1653" w:type="dxa"/>
            <w:noWrap w:val="0"/>
            <w:vAlign w:val="top"/>
          </w:tcPr>
          <w:p w14:paraId="5B0758D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重要技术</w:t>
            </w:r>
          </w:p>
          <w:p w14:paraId="0ABD15B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条款响应</w:t>
            </w:r>
          </w:p>
          <w:p w14:paraId="3688F1A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(42.0分)</w:t>
            </w:r>
          </w:p>
        </w:tc>
        <w:tc>
          <w:tcPr>
            <w:tcW w:w="6752" w:type="dxa"/>
            <w:noWrap w:val="0"/>
            <w:vAlign w:val="top"/>
          </w:tcPr>
          <w:p w14:paraId="792C8E96">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重要技术条款响应（42分）：根据各投标人对采购文件技术要求中“▲”条款（共12条）的响应程度进行评分：全部响应得42分，每有一项不响应的扣3.5分。</w:t>
            </w:r>
          </w:p>
          <w:p w14:paraId="1E818152">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所有投标人须提供投标产品彩页及相应技术参数的厂家使用说明书作为技术证明文件，否则采购人有权视相应技术参数响应不符合采购要求（如厂家的产品使用说明书为英文版，请同时提供中文版）。 </w:t>
            </w:r>
          </w:p>
        </w:tc>
      </w:tr>
      <w:tr w14:paraId="2649D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vMerge w:val="continue"/>
            <w:noWrap w:val="0"/>
            <w:vAlign w:val="top"/>
          </w:tcPr>
          <w:p w14:paraId="6B68325B">
            <w:pPr>
              <w:spacing w:line="240" w:lineRule="auto"/>
              <w:jc w:val="center"/>
              <w:rPr>
                <w:sz w:val="28"/>
                <w:szCs w:val="28"/>
              </w:rPr>
            </w:pPr>
          </w:p>
        </w:tc>
        <w:tc>
          <w:tcPr>
            <w:tcW w:w="1653" w:type="dxa"/>
            <w:noWrap w:val="0"/>
            <w:vAlign w:val="top"/>
          </w:tcPr>
          <w:p w14:paraId="5DC3C53D">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一般技术</w:t>
            </w:r>
          </w:p>
          <w:p w14:paraId="52CC6AED">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条款响应</w:t>
            </w:r>
          </w:p>
          <w:p w14:paraId="18F7FCC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(6.5分)</w:t>
            </w:r>
          </w:p>
        </w:tc>
        <w:tc>
          <w:tcPr>
            <w:tcW w:w="6752" w:type="dxa"/>
            <w:noWrap w:val="0"/>
            <w:vAlign w:val="top"/>
          </w:tcPr>
          <w:p w14:paraId="3B5252E5">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所投货物技术参数及性能与技术规格要求的符合性（6.5分）：根根据各投标人对采购文件技术要求中一般条款（共13条）的响应程度进行评分： 全部响应得6.5分，每有一项不响应的扣0.5分。 </w:t>
            </w:r>
          </w:p>
          <w:p w14:paraId="23FC9C3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所有投标人须提供投标产品彩页及相应技术参数的厂家使用说明书作为技术证明文件，否则采购人有权视相应技术参数响应不符合采购要求（如厂家的产品使用说明书为英文版，请同时提供中文版）</w:t>
            </w:r>
          </w:p>
        </w:tc>
      </w:tr>
      <w:tr w14:paraId="0D6FF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jc w:val="center"/>
        </w:trPr>
        <w:tc>
          <w:tcPr>
            <w:tcW w:w="817" w:type="dxa"/>
            <w:vMerge w:val="continue"/>
            <w:noWrap w:val="0"/>
            <w:vAlign w:val="top"/>
          </w:tcPr>
          <w:p w14:paraId="3890BFA5">
            <w:pPr>
              <w:spacing w:line="240" w:lineRule="auto"/>
              <w:ind w:left="0" w:leftChars="0" w:firstLine="0" w:firstLineChars="0"/>
              <w:jc w:val="both"/>
              <w:rPr>
                <w:rFonts w:hint="eastAsia"/>
                <w:sz w:val="28"/>
                <w:szCs w:val="28"/>
                <w:lang w:val="en-US" w:eastAsia="zh-CN"/>
              </w:rPr>
            </w:pPr>
          </w:p>
        </w:tc>
        <w:tc>
          <w:tcPr>
            <w:tcW w:w="1653" w:type="dxa"/>
            <w:noWrap w:val="0"/>
            <w:vAlign w:val="top"/>
          </w:tcPr>
          <w:p w14:paraId="65162C4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质量保证</w:t>
            </w:r>
          </w:p>
          <w:p w14:paraId="2EBDCE87">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方案</w:t>
            </w:r>
          </w:p>
          <w:p w14:paraId="1D27C32E">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 (5分)</w:t>
            </w:r>
          </w:p>
        </w:tc>
        <w:tc>
          <w:tcPr>
            <w:tcW w:w="6752" w:type="dxa"/>
            <w:noWrap w:val="0"/>
            <w:vAlign w:val="top"/>
          </w:tcPr>
          <w:p w14:paraId="0A13B646">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根据投标人针对本项目所提供的质量保证方案，方案内容包括但不限于质保年限、质量保证目标、质量保障措施等内容、提供备品备件服务等内容进行评审：</w:t>
            </w:r>
          </w:p>
          <w:p w14:paraId="67ED4B1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所提供的质保年限和质量保证目标、质量保障措施方案内容详细，有完整合理的部署规划，有安排人员负责响应采购人的维修要求及服务过程中的沟通，有完整可行操作的维修处理方法，对日常维修和应急情况响应及时，优于或完全满足项目要求的得5分；</w:t>
            </w:r>
          </w:p>
          <w:p w14:paraId="1CF1005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所提供的质保年限和质量保证目标、质量保障措施方案基本完整，部署规划基本合理，有安排人员负责响应采购人的维修要求及服务过程中的沟通，维修处理方法基本合理可行，对日常维修和应急情况响应较及时，基本满足项目要求的得3分；</w:t>
            </w:r>
          </w:p>
          <w:p w14:paraId="7042DD22">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只提供了简单的售后服务方案，投标人有提供质保期年限和质量保证目标、质量保障措施方案，但内容不详细，部署规划不合理，有人员响应采购人的维修要求及服务过程中的沟通，有基本的操作的维修处理方法，对日常维修和应急情况响应不及时，部分满足项目要求的得1分；</w:t>
            </w:r>
          </w:p>
          <w:p w14:paraId="56273675">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45F2D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jc w:val="center"/>
        </w:trPr>
        <w:tc>
          <w:tcPr>
            <w:tcW w:w="817" w:type="dxa"/>
            <w:vMerge w:val="continue"/>
            <w:noWrap w:val="0"/>
            <w:vAlign w:val="top"/>
          </w:tcPr>
          <w:p w14:paraId="13EF3CCF">
            <w:pPr>
              <w:spacing w:line="240" w:lineRule="auto"/>
              <w:ind w:left="0" w:leftChars="0" w:firstLine="0" w:firstLineChars="0"/>
              <w:jc w:val="both"/>
              <w:rPr>
                <w:rFonts w:hint="eastAsia"/>
                <w:sz w:val="28"/>
                <w:szCs w:val="28"/>
                <w:lang w:val="en-US" w:eastAsia="zh-CN"/>
              </w:rPr>
            </w:pPr>
          </w:p>
        </w:tc>
        <w:tc>
          <w:tcPr>
            <w:tcW w:w="1653" w:type="dxa"/>
            <w:noWrap w:val="0"/>
            <w:vAlign w:val="top"/>
          </w:tcPr>
          <w:p w14:paraId="5E633D5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项目实施</w:t>
            </w:r>
          </w:p>
          <w:p w14:paraId="4F4CDAC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方案</w:t>
            </w:r>
          </w:p>
          <w:p w14:paraId="7B18CCF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 (3.5分)</w:t>
            </w:r>
          </w:p>
        </w:tc>
        <w:tc>
          <w:tcPr>
            <w:tcW w:w="6752" w:type="dxa"/>
            <w:noWrap w:val="0"/>
            <w:vAlign w:val="top"/>
          </w:tcPr>
          <w:p w14:paraId="4753C69B">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根据投标人针对本项目所提供的项目实施方案（不包括售后服务和培训方案），包括但不限于项目到货计划、项目实施计划、项目运输保障、安装调试（如计划步骤、人员安排等）等内容进行评审：</w:t>
            </w:r>
          </w:p>
          <w:p w14:paraId="39475E8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（1）投标人针对本项目有明确具体的计划安排、对每个标的设备的运输过程有针对性保障手段、设备到场时的专人安装调试有明确的安排措施，优于或完全满足采购需求得3.5分；</w:t>
            </w:r>
          </w:p>
          <w:p w14:paraId="6AC334E6">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（2）投标人针对本项目有明确的计划安排、对设备的运输过程有基本的保障手段、设备到场时的专人安装调试有基本的安排措施，基本满足采购需求得2分；</w:t>
            </w:r>
          </w:p>
          <w:p w14:paraId="69001875">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（3）投标人针对本项目有简单的计划安排、对设备的运输过程有简单的保障手段、设备到场时的专人安装调试有简单的安排措施，部分满足采购需求得1分；</w:t>
            </w:r>
          </w:p>
          <w:p w14:paraId="064F8E5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6C173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94" w:hRule="atLeast"/>
          <w:jc w:val="center"/>
        </w:trPr>
        <w:tc>
          <w:tcPr>
            <w:tcW w:w="817" w:type="dxa"/>
            <w:vMerge w:val="continue"/>
            <w:noWrap w:val="0"/>
            <w:vAlign w:val="top"/>
          </w:tcPr>
          <w:p w14:paraId="41E179F6">
            <w:pPr>
              <w:spacing w:line="240" w:lineRule="auto"/>
              <w:ind w:left="0" w:leftChars="0" w:firstLine="0" w:firstLineChars="0"/>
              <w:jc w:val="both"/>
              <w:rPr>
                <w:rFonts w:hint="eastAsia"/>
                <w:sz w:val="28"/>
                <w:szCs w:val="28"/>
                <w:lang w:val="en-US" w:eastAsia="zh-CN"/>
              </w:rPr>
            </w:pPr>
          </w:p>
        </w:tc>
        <w:tc>
          <w:tcPr>
            <w:tcW w:w="1653" w:type="dxa"/>
            <w:noWrap w:val="0"/>
            <w:vAlign w:val="top"/>
          </w:tcPr>
          <w:p w14:paraId="7D418E0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培训方案</w:t>
            </w:r>
          </w:p>
          <w:p w14:paraId="37514C0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 (3分)</w:t>
            </w:r>
          </w:p>
        </w:tc>
        <w:tc>
          <w:tcPr>
            <w:tcW w:w="6752" w:type="dxa"/>
            <w:noWrap w:val="0"/>
            <w:vAlign w:val="top"/>
          </w:tcPr>
          <w:p w14:paraId="2986340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highlight w:val="none"/>
                <w:shd w:val="clear" w:color="auto" w:fill="auto"/>
                <w:lang w:eastAsia="zh-CN"/>
              </w:rPr>
              <w:t>投标</w:t>
            </w:r>
            <w:r>
              <w:rPr>
                <w:rFonts w:hint="eastAsia" w:ascii="仿宋" w:hAnsi="仿宋" w:eastAsia="仿宋" w:cs="仿宋"/>
                <w:color w:val="auto"/>
                <w:sz w:val="28"/>
                <w:szCs w:val="28"/>
                <w:shd w:val="clear" w:color="auto" w:fill="auto"/>
                <w:lang w:eastAsia="zh-CN"/>
              </w:rPr>
              <w:t>人根据产品特点及保养事项对采购人所使用设备人员提供设备操作及操作过程中注意事项等内容进行培训：</w:t>
            </w:r>
          </w:p>
          <w:p w14:paraId="10AB95F3">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1）投标人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color w:val="auto"/>
                <w:sz w:val="28"/>
                <w:szCs w:val="28"/>
                <w:shd w:val="clear" w:color="auto" w:fill="auto"/>
                <w:lang w:val="en-US" w:eastAsia="zh-CN"/>
              </w:rPr>
              <w:t>3</w:t>
            </w:r>
            <w:r>
              <w:rPr>
                <w:rFonts w:hint="eastAsia" w:ascii="仿宋" w:hAnsi="仿宋" w:eastAsia="仿宋" w:cs="仿宋"/>
                <w:color w:val="auto"/>
                <w:sz w:val="28"/>
                <w:szCs w:val="28"/>
                <w:shd w:val="clear" w:color="auto" w:fill="auto"/>
                <w:lang w:eastAsia="zh-CN"/>
              </w:rPr>
              <w:t>分；</w:t>
            </w:r>
          </w:p>
          <w:p w14:paraId="1CD78D0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（2）投标人针对本项目为采购人提供有专人指导和简单上手的设备操作培训课程安排，有简单的课程及培训内容安排，对设备的操作过程中注意事项有基本操作指引，得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lang w:eastAsia="zh-CN"/>
              </w:rPr>
              <w:t>分；</w:t>
            </w:r>
          </w:p>
          <w:p w14:paraId="082A3B9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（3）投标人提供指导和培训课程安排简单含糊，课程及培训内容安排不明确，对操作培训含糊其辞，得</w:t>
            </w:r>
            <w:r>
              <w:rPr>
                <w:rFonts w:hint="eastAsia" w:ascii="仿宋" w:hAnsi="仿宋" w:eastAsia="仿宋" w:cs="仿宋"/>
                <w:color w:val="auto"/>
                <w:sz w:val="28"/>
                <w:szCs w:val="28"/>
                <w:shd w:val="clear" w:color="auto" w:fill="auto"/>
                <w:lang w:val="en-US" w:eastAsia="zh-CN"/>
              </w:rPr>
              <w:t>1</w:t>
            </w:r>
            <w:r>
              <w:rPr>
                <w:rFonts w:hint="eastAsia" w:ascii="仿宋" w:hAnsi="仿宋" w:eastAsia="仿宋" w:cs="仿宋"/>
                <w:color w:val="auto"/>
                <w:sz w:val="28"/>
                <w:szCs w:val="28"/>
                <w:shd w:val="clear" w:color="auto" w:fill="auto"/>
                <w:lang w:eastAsia="zh-CN"/>
              </w:rPr>
              <w:t xml:space="preserve">分； </w:t>
            </w:r>
          </w:p>
          <w:p w14:paraId="4F54860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eastAsia="zh-CN"/>
              </w:rPr>
              <w:t>（4）不提供的不得分。</w:t>
            </w:r>
          </w:p>
        </w:tc>
      </w:tr>
      <w:tr w14:paraId="524D5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8" w:hRule="atLeast"/>
          <w:jc w:val="center"/>
        </w:trPr>
        <w:tc>
          <w:tcPr>
            <w:tcW w:w="817" w:type="dxa"/>
            <w:vMerge w:val="restart"/>
            <w:noWrap w:val="0"/>
            <w:vAlign w:val="top"/>
          </w:tcPr>
          <w:p w14:paraId="67B7124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商务</w:t>
            </w:r>
          </w:p>
          <w:p w14:paraId="3A9D4CE5">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部分</w:t>
            </w:r>
          </w:p>
        </w:tc>
        <w:tc>
          <w:tcPr>
            <w:tcW w:w="1653" w:type="dxa"/>
            <w:noWrap w:val="0"/>
            <w:vAlign w:val="top"/>
          </w:tcPr>
          <w:p w14:paraId="49410116">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投标人的信用、体系认证情况</w:t>
            </w:r>
          </w:p>
          <w:p w14:paraId="1D42B9F3">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（1.0分）</w:t>
            </w:r>
          </w:p>
        </w:tc>
        <w:tc>
          <w:tcPr>
            <w:tcW w:w="6752" w:type="dxa"/>
            <w:noWrap w:val="0"/>
            <w:vAlign w:val="center"/>
          </w:tcPr>
          <w:p w14:paraId="68730B1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eastAsia="zh-CN"/>
              </w:rPr>
              <w:t>投标人具有有效期内的有效的质量管理体系认证证书，提供认证证书扫描件得</w:t>
            </w:r>
            <w:r>
              <w:rPr>
                <w:rFonts w:hint="eastAsia" w:ascii="仿宋" w:hAnsi="仿宋" w:eastAsia="仿宋" w:cs="仿宋"/>
                <w:color w:val="auto"/>
                <w:sz w:val="28"/>
                <w:szCs w:val="28"/>
                <w:shd w:val="clear" w:color="auto" w:fill="auto"/>
                <w:lang w:val="en-US" w:eastAsia="zh-CN"/>
              </w:rPr>
              <w:t>1分</w:t>
            </w:r>
            <w:r>
              <w:rPr>
                <w:rFonts w:hint="eastAsia" w:ascii="仿宋" w:hAnsi="仿宋" w:eastAsia="仿宋" w:cs="仿宋"/>
                <w:color w:val="auto"/>
                <w:sz w:val="28"/>
                <w:szCs w:val="28"/>
                <w:shd w:val="clear" w:color="auto" w:fill="auto"/>
                <w:lang w:eastAsia="zh-CN"/>
              </w:rPr>
              <w:t>，不提供不得分。</w:t>
            </w:r>
          </w:p>
        </w:tc>
      </w:tr>
      <w:tr w14:paraId="1370F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vMerge w:val="continue"/>
            <w:noWrap w:val="0"/>
            <w:vAlign w:val="top"/>
          </w:tcPr>
          <w:p w14:paraId="5397CCF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p>
        </w:tc>
        <w:tc>
          <w:tcPr>
            <w:tcW w:w="1653" w:type="dxa"/>
            <w:noWrap w:val="0"/>
            <w:vAlign w:val="top"/>
          </w:tcPr>
          <w:p w14:paraId="75E5721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售后服务人员配置</w:t>
            </w:r>
          </w:p>
          <w:p w14:paraId="7C16046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（3.0分）</w:t>
            </w:r>
          </w:p>
        </w:tc>
        <w:tc>
          <w:tcPr>
            <w:tcW w:w="6752" w:type="dxa"/>
            <w:noWrap w:val="0"/>
            <w:vAlign w:val="top"/>
          </w:tcPr>
          <w:p w14:paraId="1A77DCA2">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投标人售后服务人员具备2年或以上医疗设备维修及管理经验的，每提供一个得</w:t>
            </w:r>
            <w:r>
              <w:rPr>
                <w:rFonts w:hint="eastAsia" w:ascii="仿宋" w:hAnsi="仿宋" w:eastAsia="仿宋" w:cs="仿宋"/>
                <w:color w:val="auto"/>
                <w:sz w:val="28"/>
                <w:szCs w:val="28"/>
                <w:shd w:val="clear" w:color="auto" w:fill="auto"/>
                <w:lang w:val="en-US" w:eastAsia="zh-CN"/>
              </w:rPr>
              <w:t>1</w:t>
            </w:r>
            <w:r>
              <w:rPr>
                <w:rFonts w:hint="eastAsia" w:ascii="仿宋" w:hAnsi="仿宋" w:eastAsia="仿宋" w:cs="仿宋"/>
                <w:color w:val="auto"/>
                <w:sz w:val="28"/>
                <w:szCs w:val="28"/>
                <w:shd w:val="clear" w:color="auto" w:fill="auto"/>
                <w:lang w:eastAsia="zh-CN"/>
              </w:rPr>
              <w:t>分，本小项最高得</w:t>
            </w:r>
            <w:r>
              <w:rPr>
                <w:rFonts w:hint="eastAsia" w:ascii="仿宋" w:hAnsi="仿宋" w:eastAsia="仿宋" w:cs="仿宋"/>
                <w:color w:val="auto"/>
                <w:sz w:val="28"/>
                <w:szCs w:val="28"/>
                <w:shd w:val="clear" w:color="auto" w:fill="auto"/>
                <w:lang w:val="en-US" w:eastAsia="zh-CN"/>
              </w:rPr>
              <w:t>3</w:t>
            </w:r>
            <w:r>
              <w:rPr>
                <w:rFonts w:hint="eastAsia" w:ascii="仿宋" w:hAnsi="仿宋" w:eastAsia="仿宋" w:cs="仿宋"/>
                <w:color w:val="auto"/>
                <w:sz w:val="28"/>
                <w:szCs w:val="28"/>
                <w:shd w:val="clear" w:color="auto" w:fill="auto"/>
                <w:lang w:eastAsia="zh-CN"/>
              </w:rPr>
              <w:t>分。 注：同一人只按最高经验计分，投标文件提供：①以上人员关于医疗设备的维修记录或维修报告或证明人员经验的相关证明材料复印件并加盖公章。②投标人为其购买的投标截止时间为止近6个月内任意1个月的社保证明复印件，若依法免缴社保的，提供相关证明材料。</w:t>
            </w:r>
          </w:p>
        </w:tc>
      </w:tr>
      <w:tr w14:paraId="723DC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vMerge w:val="continue"/>
            <w:noWrap w:val="0"/>
            <w:vAlign w:val="top"/>
          </w:tcPr>
          <w:p w14:paraId="0150B5D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p>
        </w:tc>
        <w:tc>
          <w:tcPr>
            <w:tcW w:w="1653" w:type="dxa"/>
            <w:noWrap w:val="0"/>
            <w:vAlign w:val="top"/>
          </w:tcPr>
          <w:p w14:paraId="4C485B19">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同类项目业绩情况</w:t>
            </w:r>
          </w:p>
          <w:p w14:paraId="5E00D23E">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 xml:space="preserve"> (3.0分)</w:t>
            </w:r>
          </w:p>
        </w:tc>
        <w:tc>
          <w:tcPr>
            <w:tcW w:w="6752" w:type="dxa"/>
            <w:noWrap w:val="0"/>
            <w:vAlign w:val="top"/>
          </w:tcPr>
          <w:p w14:paraId="03B57869">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投标人同类双能X射线骨密度仪设备供货业绩的评审（3分）：2023年1月1日至今投标人具有同类设备供货项目业绩，每提供1个业绩，得3分，最高得3分 (提供合同复印件，以签订合同的时间为准，不提供不得分）</w:t>
            </w:r>
          </w:p>
        </w:tc>
      </w:tr>
      <w:tr w14:paraId="214B8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vMerge w:val="continue"/>
            <w:noWrap w:val="0"/>
            <w:vAlign w:val="top"/>
          </w:tcPr>
          <w:p w14:paraId="144DFB0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p>
        </w:tc>
        <w:tc>
          <w:tcPr>
            <w:tcW w:w="1653" w:type="dxa"/>
            <w:noWrap w:val="0"/>
            <w:vAlign w:val="top"/>
          </w:tcPr>
          <w:p w14:paraId="125CE16A">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产品授权证明 (3.0</w:t>
            </w:r>
          </w:p>
          <w:p w14:paraId="489922F9">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分)</w:t>
            </w:r>
          </w:p>
        </w:tc>
        <w:tc>
          <w:tcPr>
            <w:tcW w:w="6752" w:type="dxa"/>
            <w:noWrap w:val="0"/>
            <w:vAlign w:val="top"/>
          </w:tcPr>
          <w:p w14:paraId="1A7F9B95">
            <w:pPr>
              <w:keepNext w:val="0"/>
              <w:keepLines w:val="0"/>
              <w:suppressLineNumbers w:val="0"/>
              <w:snapToGrid w:val="0"/>
              <w:spacing w:before="0" w:beforeAutospacing="0" w:after="0" w:afterAutospacing="0" w:line="240" w:lineRule="auto"/>
              <w:ind w:left="0" w:leftChars="0" w:right="0" w:firstLine="0" w:firstLineChars="0"/>
              <w:rPr>
                <w:rFonts w:hint="default"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为了保证核心产品具有追溯性且保证质量，投标人为代理商投标响应的，提供生产企业出具的有效授权证明，得3分，若投标人为生产企业投标的（需提供相关证明文件）也得3分，其他不得分。</w:t>
            </w:r>
          </w:p>
        </w:tc>
      </w:tr>
      <w:tr w14:paraId="146F8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17" w:type="dxa"/>
            <w:noWrap w:val="0"/>
            <w:vAlign w:val="top"/>
          </w:tcPr>
          <w:p w14:paraId="5428D5A8">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投标</w:t>
            </w:r>
          </w:p>
          <w:p w14:paraId="0561FA7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报价</w:t>
            </w:r>
          </w:p>
        </w:tc>
        <w:tc>
          <w:tcPr>
            <w:tcW w:w="1653" w:type="dxa"/>
            <w:noWrap w:val="0"/>
            <w:vAlign w:val="top"/>
          </w:tcPr>
          <w:p w14:paraId="1A75CEF0">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投标报价得分</w:t>
            </w:r>
          </w:p>
          <w:p w14:paraId="3AA18ABB">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 xml:space="preserve"> (30.0分)</w:t>
            </w:r>
          </w:p>
        </w:tc>
        <w:tc>
          <w:tcPr>
            <w:tcW w:w="6752" w:type="dxa"/>
            <w:noWrap w:val="0"/>
            <w:vAlign w:val="top"/>
          </w:tcPr>
          <w:p w14:paraId="2E723E54">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投标报价得分(30.0分)：投标报价得分＝（基准价/报价）×价格分值【注：满足采购文件要求且投标价格最低的投标报价为评标基准价。】最低报价不是中标的唯一依据。</w:t>
            </w:r>
          </w:p>
        </w:tc>
      </w:tr>
      <w:tr w14:paraId="306D2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6" w:hRule="atLeast"/>
          <w:jc w:val="center"/>
        </w:trPr>
        <w:tc>
          <w:tcPr>
            <w:tcW w:w="9222" w:type="dxa"/>
            <w:gridSpan w:val="3"/>
            <w:noWrap w:val="0"/>
            <w:vAlign w:val="top"/>
          </w:tcPr>
          <w:p w14:paraId="1C9CE97F">
            <w:pPr>
              <w:keepNext w:val="0"/>
              <w:keepLines w:val="0"/>
              <w:suppressLineNumbers w:val="0"/>
              <w:snapToGrid w:val="0"/>
              <w:spacing w:before="0" w:beforeAutospacing="0" w:after="0" w:afterAutospacing="0" w:line="240" w:lineRule="auto"/>
              <w:ind w:left="0" w:leftChars="0" w:right="0" w:firstLine="0" w:firstLineChars="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说明：打“★”号条款为实质性条款，若有任何一条负偏离或不满足则导致投标无效。</w:t>
            </w:r>
            <w:r>
              <w:rPr>
                <w:rFonts w:hint="eastAsia" w:ascii="仿宋" w:hAnsi="仿宋" w:eastAsia="仿宋" w:cs="仿宋"/>
                <w:color w:val="auto"/>
                <w:sz w:val="28"/>
                <w:szCs w:val="28"/>
                <w:shd w:val="clear" w:color="auto" w:fill="auto"/>
                <w:lang w:val="en-US" w:eastAsia="zh-CN"/>
              </w:rPr>
              <w:br w:type="textWrapping"/>
            </w:r>
            <w:r>
              <w:rPr>
                <w:rFonts w:hint="eastAsia" w:ascii="仿宋" w:hAnsi="仿宋" w:eastAsia="仿宋" w:cs="仿宋"/>
                <w:color w:val="auto"/>
                <w:sz w:val="28"/>
                <w:szCs w:val="28"/>
                <w:shd w:val="clear" w:color="auto" w:fill="auto"/>
                <w:lang w:val="en-US" w:eastAsia="zh-CN"/>
              </w:rPr>
              <w:t xml:space="preserve">     打“▲”号条款为重要技术参数，若有部分“▲”条款未响应或不满足，将导致其响应性评审加重扣分，但不作为无效投标条款。</w:t>
            </w:r>
          </w:p>
        </w:tc>
      </w:tr>
    </w:tbl>
    <w:p w14:paraId="23128F47">
      <w:pPr>
        <w:snapToGrid w:val="0"/>
        <w:spacing w:line="276" w:lineRule="auto"/>
        <w:rPr>
          <w:rFonts w:hint="eastAsia" w:ascii="仿宋" w:hAnsi="仿宋" w:eastAsia="仿宋"/>
          <w:sz w:val="28"/>
          <w:szCs w:val="28"/>
        </w:rPr>
      </w:pPr>
    </w:p>
    <w:p w14:paraId="5A13FB0E">
      <w:pPr>
        <w:autoSpaceDE w:val="0"/>
        <w:autoSpaceDN w:val="0"/>
        <w:adjustRightInd w:val="0"/>
        <w:snapToGrid w:val="0"/>
        <w:spacing w:line="240" w:lineRule="auto"/>
        <w:ind w:firstLine="0"/>
        <w:rPr>
          <w:rFonts w:ascii="仿宋" w:hAnsi="仿宋" w:eastAsia="仿宋" w:cs="Helvetica Neue"/>
          <w:i/>
          <w:iCs/>
          <w:kern w:val="0"/>
          <w:sz w:val="28"/>
          <w:szCs w:val="28"/>
        </w:rPr>
      </w:pPr>
    </w:p>
    <w:sectPr>
      <w:footerReference r:id="rId5" w:type="default"/>
      <w:footerReference r:id="rId6" w:type="even"/>
      <w:pgSz w:w="11906" w:h="16838"/>
      <w:pgMar w:top="1440" w:right="1800" w:bottom="1440" w:left="1800" w:header="851" w:footer="1389" w:gutter="0"/>
      <w:pgNumType w:fmt="decimal"/>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9695F">
    <w:pPr>
      <w:pStyle w:val="7"/>
      <w:ind w:right="320" w:rightChars="100" w:firstLine="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157C0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0157C0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D2D5615"/>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324395"/>
    <w:rsid w:val="20D234E6"/>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3C63C91"/>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B8238C"/>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37053B"/>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2">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2"/>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 w:type="paragraph" w:customStyle="1" w:styleId="31">
    <w:name w:val="_Style 13"/>
    <w:qFormat/>
    <w:uiPriority w:val="0"/>
    <w:pPr>
      <w:spacing w:before="120" w:after="120" w:line="288" w:lineRule="auto"/>
      <w:ind w:left="0"/>
      <w:jc w:val="left"/>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Pages>
  <Words>4413</Words>
  <Characters>4507</Characters>
  <Lines>40</Lines>
  <Paragraphs>11</Paragraphs>
  <TotalTime>1</TotalTime>
  <ScaleCrop>false</ScaleCrop>
  <LinksUpToDate>false</LinksUpToDate>
  <CharactersWithSpaces>4524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Magic</cp:lastModifiedBy>
  <cp:lastPrinted>2025-10-27T10:12:00Z</cp:lastPrinted>
  <dcterms:modified xsi:type="dcterms:W3CDTF">2026-08-04T00:06:44Z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eyJoZGlkIjoiOGU0Y2I3N2UwMDlmZjI2YTA4ZGRmYzk0ZDRmY2MwZjUiLCJ1c2VySWQiOiI1NjI2MTg0MzMifQ==</vt:lpwstr>
  </property>
</Properties>
</file>