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C5F5E">
      <w:pPr>
        <w:ind w:left="0" w:leftChars="0" w:firstLine="0" w:firstLineChars="0"/>
        <w:rPr>
          <w:rFonts w:hint="default"/>
          <w:b/>
          <w:bCs/>
          <w:color w:val="auto"/>
          <w:highlight w:val="none"/>
          <w:lang w:val="en-US" w:eastAsia="zh-CN"/>
        </w:rPr>
      </w:pPr>
      <w:r>
        <w:rPr>
          <w:rFonts w:hint="eastAsia"/>
          <w:b/>
          <w:bCs/>
          <w:color w:val="auto"/>
          <w:highlight w:val="none"/>
          <w:lang w:val="en-US" w:eastAsia="zh-CN"/>
        </w:rPr>
        <w:t>附件</w:t>
      </w:r>
      <w:r>
        <w:rPr>
          <w:rFonts w:hint="eastAsia" w:ascii="仿宋_GB2312" w:hAnsi="仿宋_GB2312" w:cs="仿宋_GB2312"/>
          <w:b/>
          <w:bCs/>
          <w:color w:val="auto"/>
          <w:highlight w:val="none"/>
          <w:lang w:val="en-US" w:eastAsia="zh-CN"/>
        </w:rPr>
        <w:t>2</w:t>
      </w:r>
      <w:r>
        <w:rPr>
          <w:rFonts w:hint="eastAsia" w:ascii="仿宋_GB2312" w:hAnsi="仿宋_GB2312" w:eastAsia="仿宋_GB2312" w:cs="仿宋_GB2312"/>
          <w:b/>
          <w:bCs/>
          <w:color w:val="auto"/>
          <w:highlight w:val="none"/>
          <w:lang w:val="en-US" w:eastAsia="zh-CN"/>
        </w:rPr>
        <w:t>：</w:t>
      </w:r>
    </w:p>
    <w:p w14:paraId="1F097E5D">
      <w:pPr>
        <w:pStyle w:val="4"/>
        <w:ind w:firstLine="0"/>
        <w:jc w:val="center"/>
        <w:rPr>
          <w:rFonts w:hint="eastAsia"/>
          <w:highlight w:val="none"/>
        </w:rPr>
      </w:pPr>
      <w:r>
        <w:rPr>
          <w:rFonts w:hint="eastAsia"/>
          <w:highlight w:val="none"/>
        </w:rPr>
        <w:t>鼻阻力仪参数配置要求</w:t>
      </w:r>
    </w:p>
    <w:tbl>
      <w:tblPr>
        <w:tblStyle w:val="12"/>
        <w:tblpPr w:leftFromText="180" w:rightFromText="180" w:vertAnchor="text" w:horzAnchor="page" w:tblpX="1486" w:tblpY="360"/>
        <w:tblOverlap w:val="never"/>
        <w:tblW w:w="91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45"/>
        <w:gridCol w:w="976"/>
        <w:gridCol w:w="6317"/>
      </w:tblGrid>
      <w:tr w14:paraId="528A5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2" w:hRule="atLeast"/>
        </w:trPr>
        <w:tc>
          <w:tcPr>
            <w:tcW w:w="1845" w:type="dxa"/>
            <w:vAlign w:val="center"/>
          </w:tcPr>
          <w:p w14:paraId="163647F1">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参数性质</w:t>
            </w:r>
          </w:p>
        </w:tc>
        <w:tc>
          <w:tcPr>
            <w:tcW w:w="976" w:type="dxa"/>
            <w:vAlign w:val="center"/>
          </w:tcPr>
          <w:p w14:paraId="78014125">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序号</w:t>
            </w:r>
          </w:p>
        </w:tc>
        <w:tc>
          <w:tcPr>
            <w:tcW w:w="6317" w:type="dxa"/>
          </w:tcPr>
          <w:p w14:paraId="2E2B6E79">
            <w:pPr>
              <w:pStyle w:val="30"/>
              <w:spacing w:line="400" w:lineRule="exact"/>
              <w:rPr>
                <w:rFonts w:hint="default" w:ascii="仿宋" w:hAnsi="仿宋" w:eastAsia="仿宋" w:cs="仿宋"/>
                <w:sz w:val="24"/>
                <w:szCs w:val="24"/>
              </w:rPr>
            </w:pPr>
            <w:r>
              <w:rPr>
                <w:rFonts w:ascii="仿宋" w:hAnsi="仿宋" w:eastAsia="仿宋" w:cs="仿宋"/>
                <w:sz w:val="24"/>
                <w:szCs w:val="24"/>
              </w:rPr>
              <w:t>具体技术(参数)要求</w:t>
            </w:r>
          </w:p>
        </w:tc>
      </w:tr>
      <w:tr w14:paraId="623BA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845" w:type="dxa"/>
            <w:vAlign w:val="center"/>
          </w:tcPr>
          <w:p w14:paraId="6A8F670E">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4CE4A79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CDBDB2F">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一、总体要求：</w:t>
            </w:r>
          </w:p>
          <w:p w14:paraId="154EFD80">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1.所投的产品须具有中华人民共和国医疗器械注册证，投标时提供医疗器械注册证复印件。</w:t>
            </w:r>
          </w:p>
        </w:tc>
      </w:tr>
      <w:tr w14:paraId="19F50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3" w:hRule="atLeast"/>
        </w:trPr>
        <w:tc>
          <w:tcPr>
            <w:tcW w:w="1845" w:type="dxa"/>
            <w:vAlign w:val="center"/>
          </w:tcPr>
          <w:p w14:paraId="7DE1D92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_GB2312" w:hAnsi="仿宋_GB2312" w:cs="仿宋_GB2312"/>
                <w:szCs w:val="32"/>
              </w:rPr>
              <w:t>▲</w:t>
            </w:r>
          </w:p>
        </w:tc>
        <w:tc>
          <w:tcPr>
            <w:tcW w:w="976" w:type="dxa"/>
            <w:vAlign w:val="center"/>
          </w:tcPr>
          <w:p w14:paraId="54BBC35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2344C6E">
            <w:pPr>
              <w:pStyle w:val="30"/>
              <w:numPr>
                <w:ilvl w:val="255"/>
                <w:numId w:val="0"/>
              </w:numPr>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2</w:t>
            </w:r>
            <w:r>
              <w:rPr>
                <w:rFonts w:ascii="仿宋" w:hAnsi="仿宋" w:eastAsia="仿宋" w:cs="仿宋"/>
                <w:sz w:val="24"/>
                <w:szCs w:val="24"/>
                <w:lang w:eastAsia="zh-CN"/>
              </w:rPr>
              <w:t>.设备主要功能</w:t>
            </w:r>
            <w:r>
              <w:rPr>
                <w:rFonts w:hint="default" w:ascii="仿宋" w:hAnsi="仿宋" w:eastAsia="仿宋" w:cs="仿宋"/>
                <w:sz w:val="24"/>
                <w:szCs w:val="24"/>
                <w:lang w:eastAsia="zh-CN"/>
              </w:rPr>
              <w:t>、</w:t>
            </w:r>
            <w:r>
              <w:rPr>
                <w:rFonts w:ascii="仿宋" w:hAnsi="仿宋" w:eastAsia="仿宋" w:cs="仿宋"/>
                <w:sz w:val="24"/>
                <w:szCs w:val="24"/>
                <w:lang w:eastAsia="zh-CN"/>
              </w:rPr>
              <w:t>用途：</w:t>
            </w:r>
            <w:r>
              <w:rPr>
                <w:rFonts w:hint="eastAsia" w:ascii="仿宋" w:hAnsi="仿宋" w:eastAsia="仿宋" w:cs="仿宋"/>
                <w:color w:val="000000" w:themeColor="text1"/>
                <w:kern w:val="0"/>
                <w:sz w:val="24"/>
                <w:szCs w:val="24"/>
                <w:lang w:val="en-US" w:eastAsia="zh-CN" w:bidi="ar-SA"/>
                <w14:textFill>
                  <w14:solidFill>
                    <w14:schemeClr w14:val="tx1"/>
                  </w14:solidFill>
                </w14:textFill>
              </w:rPr>
              <w:t>客观检测鼻腔阻力阻塞程度，鼻窦阻塞筛查，连续测试呼气与吸气压力，手柄，脚踏采集数据，并且快捷切换功能。</w:t>
            </w:r>
          </w:p>
        </w:tc>
      </w:tr>
      <w:tr w14:paraId="28272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5" w:hRule="atLeast"/>
        </w:trPr>
        <w:tc>
          <w:tcPr>
            <w:tcW w:w="1845" w:type="dxa"/>
            <w:vAlign w:val="center"/>
          </w:tcPr>
          <w:p w14:paraId="7E94032C">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6671C6A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E329CC3">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3</w:t>
            </w:r>
            <w:r>
              <w:rPr>
                <w:rFonts w:ascii="仿宋" w:hAnsi="仿宋" w:eastAsia="仿宋" w:cs="仿宋"/>
                <w:sz w:val="24"/>
                <w:szCs w:val="24"/>
                <w:lang w:eastAsia="zh-CN"/>
              </w:rPr>
              <w:t>.保修期≥</w:t>
            </w:r>
            <w:r>
              <w:rPr>
                <w:rFonts w:ascii="仿宋" w:hAnsi="仿宋" w:eastAsia="仿宋" w:cs="仿宋"/>
                <w:sz w:val="24"/>
                <w:szCs w:val="24"/>
                <w:u w:val="single"/>
                <w:lang w:eastAsia="zh-CN"/>
              </w:rPr>
              <w:t xml:space="preserve"> </w:t>
            </w:r>
            <w:r>
              <w:rPr>
                <w:rFonts w:hint="eastAsia" w:ascii="仿宋" w:hAnsi="仿宋" w:eastAsia="仿宋" w:cs="仿宋"/>
                <w:sz w:val="24"/>
                <w:szCs w:val="24"/>
                <w:u w:val="single"/>
                <w:lang w:val="en-US" w:eastAsia="zh-CN"/>
              </w:rPr>
              <w:t>3</w:t>
            </w:r>
            <w:r>
              <w:rPr>
                <w:rFonts w:ascii="仿宋" w:hAnsi="仿宋" w:eastAsia="仿宋" w:cs="仿宋"/>
                <w:sz w:val="24"/>
                <w:szCs w:val="24"/>
                <w:u w:val="single"/>
                <w:lang w:eastAsia="zh-CN"/>
              </w:rPr>
              <w:t xml:space="preserve"> </w:t>
            </w:r>
            <w:r>
              <w:rPr>
                <w:rFonts w:ascii="仿宋" w:hAnsi="仿宋" w:eastAsia="仿宋" w:cs="仿宋"/>
                <w:sz w:val="24"/>
                <w:szCs w:val="24"/>
                <w:lang w:eastAsia="zh-CN"/>
              </w:rPr>
              <w:t>年（包含一切附属配件），费用均包含在投标报价中。</w:t>
            </w:r>
          </w:p>
        </w:tc>
      </w:tr>
      <w:tr w14:paraId="09BC2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02" w:hRule="atLeast"/>
        </w:trPr>
        <w:tc>
          <w:tcPr>
            <w:tcW w:w="1845" w:type="dxa"/>
            <w:vAlign w:val="center"/>
          </w:tcPr>
          <w:p w14:paraId="33303C15">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1878A1D8">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FC02464">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4</w:t>
            </w:r>
            <w:r>
              <w:rPr>
                <w:rFonts w:ascii="仿宋" w:hAnsi="仿宋" w:eastAsia="仿宋" w:cs="仿宋"/>
                <w:sz w:val="24"/>
                <w:szCs w:val="24"/>
                <w:lang w:eastAsia="zh-CN"/>
              </w:rPr>
              <w:t>.设备主机使用年限≥</w:t>
            </w:r>
            <w:r>
              <w:rPr>
                <w:rFonts w:ascii="仿宋" w:hAnsi="仿宋" w:eastAsia="仿宋" w:cs="仿宋"/>
                <w:sz w:val="24"/>
                <w:szCs w:val="24"/>
                <w:u w:val="single"/>
                <w:lang w:eastAsia="zh-CN"/>
              </w:rPr>
              <w:t xml:space="preserve"> </w:t>
            </w:r>
            <w:r>
              <w:rPr>
                <w:rFonts w:hint="eastAsia" w:ascii="仿宋" w:hAnsi="仿宋" w:eastAsia="仿宋" w:cs="仿宋"/>
                <w:sz w:val="24"/>
                <w:szCs w:val="24"/>
                <w:u w:val="single"/>
                <w:lang w:val="en-US" w:eastAsia="zh-CN"/>
              </w:rPr>
              <w:t>8</w:t>
            </w:r>
            <w:r>
              <w:rPr>
                <w:rFonts w:ascii="仿宋" w:hAnsi="仿宋" w:eastAsia="仿宋" w:cs="仿宋"/>
                <w:sz w:val="24"/>
                <w:szCs w:val="24"/>
                <w:u w:val="single"/>
                <w:lang w:eastAsia="zh-CN"/>
              </w:rPr>
              <w:t xml:space="preserve"> </w:t>
            </w:r>
            <w:r>
              <w:rPr>
                <w:rFonts w:ascii="仿宋" w:hAnsi="仿宋" w:eastAsia="仿宋" w:cs="仿宋"/>
                <w:sz w:val="24"/>
                <w:szCs w:val="24"/>
                <w:lang w:eastAsia="zh-CN"/>
              </w:rPr>
              <w:t>年，（提供同型号产品铭牌/标签或使用说明书等证明）；</w:t>
            </w:r>
          </w:p>
        </w:tc>
      </w:tr>
      <w:tr w14:paraId="50F2A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1845" w:type="dxa"/>
            <w:vAlign w:val="center"/>
          </w:tcPr>
          <w:p w14:paraId="764B5C6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0474CF6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A2EE636">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5</w:t>
            </w:r>
            <w:r>
              <w:rPr>
                <w:rFonts w:ascii="仿宋" w:hAnsi="仿宋" w:eastAsia="仿宋" w:cs="仿宋"/>
                <w:sz w:val="24"/>
                <w:szCs w:val="24"/>
                <w:lang w:eastAsia="zh-CN"/>
              </w:rPr>
              <w:t>.设备交货日期不得超过生产日期后6个月；</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提供承诺函</w:t>
            </w:r>
            <w:r>
              <w:rPr>
                <w:rFonts w:hint="eastAsia" w:ascii="仿宋" w:hAnsi="仿宋" w:eastAsia="仿宋" w:cs="仿宋"/>
                <w:sz w:val="24"/>
                <w:szCs w:val="24"/>
                <w:lang w:eastAsia="zh-CN"/>
              </w:rPr>
              <w:t>）</w:t>
            </w:r>
          </w:p>
        </w:tc>
      </w:tr>
      <w:tr w14:paraId="219C8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845" w:type="dxa"/>
            <w:vAlign w:val="center"/>
          </w:tcPr>
          <w:p w14:paraId="27799FEA">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36A8E18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9438EE4">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6</w:t>
            </w:r>
            <w:r>
              <w:rPr>
                <w:rFonts w:ascii="仿宋" w:hAnsi="仿宋" w:eastAsia="仿宋" w:cs="仿宋"/>
                <w:sz w:val="24"/>
                <w:szCs w:val="24"/>
                <w:lang w:eastAsia="zh-CN"/>
              </w:rPr>
              <w:t>.所投设备为非召回、非停产设备。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提供承诺函</w:t>
            </w:r>
            <w:r>
              <w:rPr>
                <w:rFonts w:hint="eastAsia" w:ascii="仿宋" w:hAnsi="仿宋" w:eastAsia="仿宋" w:cs="仿宋"/>
                <w:sz w:val="24"/>
                <w:szCs w:val="24"/>
                <w:lang w:eastAsia="zh-CN"/>
              </w:rPr>
              <w:t>）</w:t>
            </w:r>
          </w:p>
        </w:tc>
      </w:tr>
      <w:tr w14:paraId="3E74A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49F849F4">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_GB2312" w:hAnsi="仿宋_GB2312" w:cs="仿宋_GB2312"/>
                <w:szCs w:val="32"/>
              </w:rPr>
              <w:t>▲</w:t>
            </w:r>
          </w:p>
        </w:tc>
        <w:tc>
          <w:tcPr>
            <w:tcW w:w="976" w:type="dxa"/>
            <w:vAlign w:val="center"/>
          </w:tcPr>
          <w:p w14:paraId="05CE4248">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338ABF5">
            <w:pPr>
              <w:pStyle w:val="30"/>
              <w:spacing w:line="400" w:lineRule="exact"/>
              <w:rPr>
                <w:rFonts w:hint="default" w:ascii="仿宋" w:hAnsi="仿宋" w:eastAsia="仿宋" w:cs="仿宋"/>
                <w:color w:val="000000" w:themeColor="text1"/>
                <w:sz w:val="24"/>
                <w:szCs w:val="24"/>
                <w:lang w:eastAsia="zh-CN"/>
                <w14:textFill>
                  <w14:solidFill>
                    <w14:schemeClr w14:val="tx1"/>
                  </w14:solidFill>
                </w14:textFill>
              </w:rPr>
            </w:pPr>
            <w:r>
              <w:rPr>
                <w:rFonts w:ascii="仿宋" w:hAnsi="仿宋" w:eastAsia="仿宋" w:cs="仿宋"/>
                <w:color w:val="000000" w:themeColor="text1"/>
                <w:sz w:val="24"/>
                <w:szCs w:val="24"/>
                <w:lang w:eastAsia="zh-CN"/>
                <w14:textFill>
                  <w14:solidFill>
                    <w14:schemeClr w14:val="tx1"/>
                  </w14:solidFill>
                </w14:textFill>
              </w:rPr>
              <w:t>二、主要技术要求（达到或优于）</w:t>
            </w:r>
          </w:p>
          <w:p w14:paraId="1D2453F3">
            <w:pPr>
              <w:spacing w:line="416" w:lineRule="atLeast"/>
              <w:ind w:firstLine="0"/>
              <w:jc w:val="left"/>
              <w:rPr>
                <w:rFonts w:hint="default" w:ascii="仿宋" w:hAnsi="仿宋" w:eastAsia="仿宋" w:cs="仿宋"/>
                <w:color w:val="000000" w:themeColor="text1"/>
                <w:sz w:val="24"/>
                <w:szCs w:val="24"/>
                <w:u w:val="single"/>
                <w:lang w:eastAsia="zh-CN"/>
                <w14:textFill>
                  <w14:solidFill>
                    <w14:schemeClr w14:val="tx1"/>
                  </w14:solidFill>
                </w14:textFill>
              </w:rPr>
            </w:pPr>
            <w:r>
              <w:rPr>
                <w:rFonts w:ascii="仿宋" w:hAnsi="仿宋" w:eastAsia="仿宋" w:cs="仿宋"/>
                <w:color w:val="000000" w:themeColor="text1"/>
                <w:sz w:val="24"/>
                <w:szCs w:val="24"/>
                <w:lang w:eastAsia="zh-CN"/>
                <w14:textFill>
                  <w14:solidFill>
                    <w14:schemeClr w14:val="tx1"/>
                  </w14:solidFill>
                </w14:textFill>
              </w:rPr>
              <w:t>1.</w:t>
            </w:r>
            <w:r>
              <w:rPr>
                <w:rFonts w:hint="eastAsia" w:ascii="仿宋" w:hAnsi="仿宋" w:eastAsia="仿宋" w:cs="仿宋"/>
                <w:color w:val="000000" w:themeColor="text1"/>
                <w:kern w:val="0"/>
                <w:sz w:val="24"/>
                <w:szCs w:val="24"/>
                <w:lang w:val="en-US" w:eastAsia="zh-CN" w:bidi="ar-SA"/>
                <w14:textFill>
                  <w14:solidFill>
                    <w14:schemeClr w14:val="tx1"/>
                  </w14:solidFill>
                </w14:textFill>
              </w:rPr>
              <w:t>鼻阻力仪提供橄榄型或者面罩2种测量模式，具备儿童与成人检查。橄榄头和面罩可以消毒重复使用。</w:t>
            </w:r>
          </w:p>
        </w:tc>
      </w:tr>
      <w:tr w14:paraId="1CC4C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56E8944B">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hint="eastAsia" w:ascii="仿宋_GB2312" w:hAnsi="仿宋_GB2312" w:cs="仿宋_GB2312"/>
                <w:szCs w:val="32"/>
              </w:rPr>
            </w:pPr>
          </w:p>
        </w:tc>
        <w:tc>
          <w:tcPr>
            <w:tcW w:w="976" w:type="dxa"/>
            <w:vAlign w:val="center"/>
          </w:tcPr>
          <w:p w14:paraId="12FEBD4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AF9F0D0">
            <w:pPr>
              <w:ind w:firstLine="0"/>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2.工作站储存1T及以上。</w:t>
            </w:r>
          </w:p>
        </w:tc>
      </w:tr>
      <w:tr w14:paraId="6ADE1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305D7DA">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_GB2312" w:hAnsi="仿宋_GB2312" w:cs="仿宋_GB2312"/>
                <w:szCs w:val="32"/>
              </w:rPr>
              <w:t>▲</w:t>
            </w:r>
          </w:p>
        </w:tc>
        <w:tc>
          <w:tcPr>
            <w:tcW w:w="976" w:type="dxa"/>
            <w:vAlign w:val="center"/>
          </w:tcPr>
          <w:p w14:paraId="2538388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6BF550C">
            <w:pPr>
              <w:ind w:firstLine="0"/>
              <w:rPr>
                <w:rFonts w:hint="default" w:ascii="仿宋" w:hAnsi="仿宋" w:eastAsia="仿宋" w:cs="仿宋"/>
                <w:color w:val="000000" w:themeColor="text1"/>
                <w:sz w:val="24"/>
                <w:szCs w:val="24"/>
                <w:u w:val="single"/>
                <w:lang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kern w:val="0"/>
                <w:sz w:val="24"/>
                <w:szCs w:val="24"/>
                <w:lang w:val="en-US" w:eastAsia="zh-CN" w:bidi="ar-SA"/>
                <w14:textFill>
                  <w14:solidFill>
                    <w14:schemeClr w14:val="tx1"/>
                  </w14:solidFill>
                </w14:textFill>
              </w:rPr>
              <w:t>鼻阻力测量手柄智能，快捷，具有流量测试与阻力测试。</w:t>
            </w:r>
          </w:p>
        </w:tc>
      </w:tr>
      <w:tr w14:paraId="7C65B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1CE392FD">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_GB2312" w:hAnsi="仿宋_GB2312" w:cs="仿宋_GB2312"/>
                <w:szCs w:val="32"/>
              </w:rPr>
              <w:t>▲</w:t>
            </w:r>
          </w:p>
        </w:tc>
        <w:tc>
          <w:tcPr>
            <w:tcW w:w="976" w:type="dxa"/>
            <w:vAlign w:val="center"/>
          </w:tcPr>
          <w:p w14:paraId="2597F17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61D74D3">
            <w:pPr>
              <w:spacing w:line="416" w:lineRule="atLeast"/>
              <w:ind w:firstLine="0"/>
              <w:jc w:val="left"/>
              <w:rPr>
                <w:rFonts w:hint="default" w:ascii="仿宋" w:hAnsi="仿宋" w:eastAsia="仿宋" w:cs="仿宋"/>
                <w:color w:val="000000" w:themeColor="text1"/>
                <w:sz w:val="24"/>
                <w:szCs w:val="24"/>
                <w:lang w:eastAsia="zh-CN"/>
                <w14:textFill>
                  <w14:solidFill>
                    <w14:schemeClr w14:val="tx1"/>
                  </w14:solidFill>
                </w14:textFill>
              </w:rPr>
            </w:pPr>
            <w:r>
              <w:rPr>
                <w:rFonts w:ascii="仿宋" w:hAnsi="仿宋" w:eastAsia="仿宋" w:cs="仿宋"/>
                <w:color w:val="000000" w:themeColor="text1"/>
                <w:sz w:val="24"/>
                <w:szCs w:val="24"/>
                <w:lang w:eastAsia="zh-CN"/>
                <w14:textFill>
                  <w14:solidFill>
                    <w14:schemeClr w14:val="tx1"/>
                  </w14:solidFill>
                </w14:textFill>
              </w:rPr>
              <w:t>4.</w:t>
            </w:r>
            <w:r>
              <w:rPr>
                <w:rFonts w:hint="eastAsia" w:ascii="仿宋" w:hAnsi="仿宋" w:eastAsia="仿宋" w:cs="仿宋"/>
                <w:color w:val="000000" w:themeColor="text1"/>
                <w:kern w:val="0"/>
                <w:sz w:val="24"/>
                <w:szCs w:val="24"/>
                <w:lang w:val="en-US" w:eastAsia="zh-CN" w:bidi="ar-SA"/>
                <w14:textFill>
                  <w14:solidFill>
                    <w14:schemeClr w14:val="tx1"/>
                  </w14:solidFill>
                </w14:textFill>
              </w:rPr>
              <w:t>测量压力：压力75-300Pa不同级别的测试，或更加宽广压力范围，同步显示测量状态数据曲线。探头可以自动测鼻阻力。测试双侧鼻腔的流量及压力曲线。误差≤±3%。</w:t>
            </w:r>
          </w:p>
        </w:tc>
      </w:tr>
      <w:tr w14:paraId="701DE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382A77ED">
            <w:pPr>
              <w:widowControl/>
              <w:spacing w:line="400" w:lineRule="exact"/>
              <w:jc w:val="center"/>
              <w:rPr>
                <w:rFonts w:ascii="仿宋" w:hAnsi="仿宋" w:eastAsia="仿宋" w:cs="仿宋"/>
                <w:sz w:val="24"/>
              </w:rPr>
            </w:pPr>
          </w:p>
        </w:tc>
        <w:tc>
          <w:tcPr>
            <w:tcW w:w="976" w:type="dxa"/>
            <w:vAlign w:val="center"/>
          </w:tcPr>
          <w:p w14:paraId="5F52C40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ECE7F47">
            <w:pPr>
              <w:spacing w:line="416" w:lineRule="atLeast"/>
              <w:ind w:firstLine="0"/>
              <w:jc w:val="left"/>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5. 软件功能：设备控制，数据采集，数据与图像传输、打印。软件自动识别鼻腔阻塞程度报告，具有最新四相位图。</w:t>
            </w:r>
          </w:p>
        </w:tc>
      </w:tr>
      <w:tr w14:paraId="13128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3" w:hRule="atLeast"/>
        </w:trPr>
        <w:tc>
          <w:tcPr>
            <w:tcW w:w="1845" w:type="dxa"/>
            <w:vAlign w:val="center"/>
          </w:tcPr>
          <w:p w14:paraId="36E2EE58">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szCs w:val="24"/>
                <w:lang w:eastAsia="zh-CN"/>
              </w:rPr>
              <w:t>★</w:t>
            </w:r>
          </w:p>
        </w:tc>
        <w:tc>
          <w:tcPr>
            <w:tcW w:w="976" w:type="dxa"/>
            <w:vAlign w:val="center"/>
          </w:tcPr>
          <w:p w14:paraId="2B34517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4232AB4">
            <w:pPr>
              <w:spacing w:line="416" w:lineRule="atLeast"/>
              <w:ind w:firstLine="0"/>
              <w:jc w:val="left"/>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6.连接医院</w:t>
            </w: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门诊病历系统</w:t>
            </w:r>
            <w:r>
              <w:rPr>
                <w:rFonts w:hint="eastAsia" w:ascii="仿宋" w:hAnsi="仿宋" w:eastAsia="仿宋" w:cs="仿宋"/>
                <w:color w:val="000000" w:themeColor="text1"/>
                <w:kern w:val="0"/>
                <w:sz w:val="24"/>
                <w:szCs w:val="24"/>
                <w:lang w:val="en-US" w:eastAsia="zh-CN" w:bidi="ar-SA"/>
                <w14:textFill>
                  <w14:solidFill>
                    <w14:schemeClr w14:val="tx1"/>
                  </w14:solidFill>
                </w14:textFill>
              </w:rPr>
              <w:t>，生成报告，数据浏览。费用包含在投标报价中。</w:t>
            </w:r>
          </w:p>
        </w:tc>
      </w:tr>
      <w:tr w14:paraId="3A79A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1845" w:type="dxa"/>
            <w:vAlign w:val="center"/>
          </w:tcPr>
          <w:p w14:paraId="0296482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38AF17C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913C8F8">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三.主要配置清单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单套</w:t>
            </w:r>
            <w:r>
              <w:rPr>
                <w:rFonts w:hint="eastAsia" w:ascii="仿宋" w:hAnsi="仿宋" w:eastAsia="仿宋" w:cs="仿宋"/>
                <w:sz w:val="24"/>
                <w:szCs w:val="24"/>
                <w:lang w:eastAsia="zh-CN"/>
              </w:rPr>
              <w:t>）</w:t>
            </w:r>
            <w:r>
              <w:rPr>
                <w:rFonts w:ascii="仿宋" w:hAnsi="仿宋" w:eastAsia="仿宋" w:cs="仿宋"/>
                <w:sz w:val="24"/>
                <w:szCs w:val="24"/>
                <w:lang w:eastAsia="zh-CN"/>
              </w:rPr>
              <w:t>：</w:t>
            </w:r>
          </w:p>
          <w:tbl>
            <w:tblPr>
              <w:tblStyle w:val="1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5"/>
              <w:gridCol w:w="3288"/>
              <w:gridCol w:w="792"/>
              <w:gridCol w:w="792"/>
            </w:tblGrid>
            <w:tr w14:paraId="63DC29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E707D1F">
                  <w:pPr>
                    <w:pStyle w:val="30"/>
                    <w:jc w:val="center"/>
                    <w:rPr>
                      <w:rFonts w:hint="default"/>
                    </w:rPr>
                  </w:pPr>
                  <w:r>
                    <w:rPr>
                      <w:b/>
                      <w:sz w:val="21"/>
                    </w:rPr>
                    <w:t>序号</w:t>
                  </w:r>
                </w:p>
              </w:tc>
              <w:tc>
                <w:tcPr>
                  <w:tcW w:w="32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343BBE4">
                  <w:pPr>
                    <w:pStyle w:val="30"/>
                    <w:jc w:val="center"/>
                    <w:rPr>
                      <w:rFonts w:hint="default"/>
                      <w:lang w:eastAsia="zh-CN"/>
                    </w:rPr>
                  </w:pPr>
                  <w:r>
                    <w:rPr>
                      <w:b/>
                      <w:sz w:val="21"/>
                      <w:lang w:eastAsia="zh-CN"/>
                    </w:rPr>
                    <w:t>配置名称</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09060E1">
                  <w:pPr>
                    <w:pStyle w:val="30"/>
                    <w:jc w:val="center"/>
                    <w:rPr>
                      <w:rFonts w:hint="default"/>
                      <w:lang w:eastAsia="zh-CN"/>
                    </w:rPr>
                  </w:pPr>
                  <w:r>
                    <w:rPr>
                      <w:lang w:eastAsia="zh-CN"/>
                    </w:rPr>
                    <w:t>单位</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B5F9CF7">
                  <w:pPr>
                    <w:pStyle w:val="30"/>
                    <w:jc w:val="center"/>
                    <w:rPr>
                      <w:rFonts w:hint="default"/>
                      <w:b/>
                      <w:sz w:val="21"/>
                      <w:lang w:eastAsia="zh-CN"/>
                    </w:rPr>
                  </w:pPr>
                  <w:r>
                    <w:rPr>
                      <w:b/>
                      <w:sz w:val="21"/>
                      <w:lang w:eastAsia="zh-CN"/>
                    </w:rPr>
                    <w:t>数量</w:t>
                  </w:r>
                </w:p>
              </w:tc>
            </w:tr>
            <w:tr w14:paraId="11379E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8EC168">
                  <w:pPr>
                    <w:pStyle w:val="30"/>
                    <w:jc w:val="center"/>
                    <w:rPr>
                      <w:rFonts w:hint="default"/>
                    </w:rPr>
                  </w:pPr>
                  <w:r>
                    <w:rPr>
                      <w:sz w:val="21"/>
                    </w:rPr>
                    <w:t>1</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6EBA96">
                  <w:pPr>
                    <w:pStyle w:val="3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主机</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AA3FDB">
                  <w:pPr>
                    <w:pStyle w:val="3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台</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1B9BE5">
                  <w:pPr>
                    <w:pStyle w:val="30"/>
                    <w:jc w:val="center"/>
                    <w:rPr>
                      <w:rFonts w:hint="eastAsia"/>
                      <w:sz w:val="24"/>
                      <w:szCs w:val="24"/>
                      <w:highlight w:val="none"/>
                      <w:lang w:val="en-US" w:eastAsia="zh-CN"/>
                    </w:rPr>
                  </w:pPr>
                  <w:r>
                    <w:rPr>
                      <w:rFonts w:hint="eastAsia"/>
                      <w:sz w:val="24"/>
                      <w:szCs w:val="24"/>
                      <w:highlight w:val="none"/>
                      <w:lang w:val="en-US" w:eastAsia="zh-CN"/>
                    </w:rPr>
                    <w:t>1</w:t>
                  </w:r>
                </w:p>
              </w:tc>
            </w:tr>
            <w:tr w14:paraId="54EF55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3C1BB4">
                  <w:pPr>
                    <w:pStyle w:val="30"/>
                    <w:jc w:val="center"/>
                    <w:rPr>
                      <w:rFonts w:hint="eastAsia" w:eastAsia="宋体"/>
                      <w:sz w:val="21"/>
                      <w:lang w:val="en-US" w:eastAsia="zh-CN"/>
                    </w:rPr>
                  </w:pPr>
                  <w:r>
                    <w:rPr>
                      <w:rFonts w:hint="eastAsia"/>
                      <w:sz w:val="21"/>
                      <w:lang w:val="en-US" w:eastAsia="zh-CN"/>
                    </w:rPr>
                    <w:t>2</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9C76E7">
                  <w:pPr>
                    <w:pStyle w:val="30"/>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工作站</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A26F04">
                  <w:pPr>
                    <w:pStyle w:val="30"/>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台</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5055B4">
                  <w:pPr>
                    <w:pStyle w:val="30"/>
                    <w:jc w:val="center"/>
                    <w:rPr>
                      <w:rFonts w:hint="default"/>
                      <w:sz w:val="24"/>
                      <w:szCs w:val="24"/>
                      <w:highlight w:val="none"/>
                      <w:lang w:val="en-US" w:eastAsia="zh-CN"/>
                    </w:rPr>
                  </w:pPr>
                  <w:r>
                    <w:rPr>
                      <w:rFonts w:hint="eastAsia"/>
                      <w:sz w:val="24"/>
                      <w:szCs w:val="24"/>
                      <w:highlight w:val="none"/>
                      <w:lang w:val="en-US" w:eastAsia="zh-CN"/>
                    </w:rPr>
                    <w:t>1</w:t>
                  </w:r>
                </w:p>
              </w:tc>
            </w:tr>
            <w:tr w14:paraId="311860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0E0A14">
                  <w:pPr>
                    <w:pStyle w:val="30"/>
                    <w:jc w:val="center"/>
                    <w:rPr>
                      <w:rFonts w:hint="eastAsia" w:eastAsia="宋体"/>
                      <w:lang w:eastAsia="zh-CN"/>
                    </w:rPr>
                  </w:pPr>
                  <w:r>
                    <w:rPr>
                      <w:rFonts w:hint="eastAsia"/>
                      <w:sz w:val="21"/>
                      <w:lang w:val="en-US" w:eastAsia="zh-CN"/>
                    </w:rPr>
                    <w:t>3</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367B8D">
                  <w:pPr>
                    <w:pStyle w:val="30"/>
                    <w:jc w:val="center"/>
                    <w:rPr>
                      <w:rFonts w:hint="default"/>
                      <w:sz w:val="24"/>
                      <w:szCs w:val="24"/>
                      <w:highlight w:val="none"/>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脚踏踏板</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6935F9">
                  <w:pPr>
                    <w:pStyle w:val="30"/>
                    <w:jc w:val="center"/>
                    <w:rPr>
                      <w:rFonts w:hint="eastAsia" w:eastAsia="宋体"/>
                      <w:sz w:val="24"/>
                      <w:szCs w:val="24"/>
                      <w:lang w:val="en-US" w:eastAsia="zh-CN"/>
                    </w:rPr>
                  </w:pPr>
                  <w:r>
                    <w:rPr>
                      <w:rFonts w:hint="eastAsia"/>
                      <w:sz w:val="24"/>
                      <w:szCs w:val="24"/>
                      <w:lang w:val="en-US" w:eastAsia="zh-CN"/>
                    </w:rPr>
                    <w:t>个</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F7D849">
                  <w:pPr>
                    <w:pStyle w:val="30"/>
                    <w:jc w:val="center"/>
                    <w:rPr>
                      <w:rFonts w:hint="eastAsia" w:eastAsia="宋体"/>
                      <w:sz w:val="24"/>
                      <w:szCs w:val="24"/>
                      <w:lang w:val="en-US" w:eastAsia="zh-CN"/>
                    </w:rPr>
                  </w:pPr>
                  <w:r>
                    <w:rPr>
                      <w:rFonts w:hint="eastAsia"/>
                      <w:sz w:val="24"/>
                      <w:szCs w:val="24"/>
                      <w:lang w:val="en-US" w:eastAsia="zh-CN"/>
                    </w:rPr>
                    <w:t>1</w:t>
                  </w:r>
                </w:p>
              </w:tc>
            </w:tr>
            <w:tr w14:paraId="24C17F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ADDE02">
                  <w:pPr>
                    <w:pStyle w:val="30"/>
                    <w:jc w:val="center"/>
                    <w:rPr>
                      <w:rFonts w:hint="eastAsia" w:eastAsia="宋体"/>
                      <w:sz w:val="21"/>
                      <w:lang w:val="en-US" w:eastAsia="zh-CN"/>
                    </w:rPr>
                  </w:pPr>
                  <w:r>
                    <w:rPr>
                      <w:rFonts w:hint="eastAsia"/>
                      <w:sz w:val="21"/>
                      <w:lang w:val="en-US" w:eastAsia="zh-CN"/>
                    </w:rPr>
                    <w:t>4</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BD5897">
                  <w:pPr>
                    <w:pStyle w:val="30"/>
                    <w:jc w:val="cente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鼻阻力测量手柄</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131DAB">
                  <w:pPr>
                    <w:pStyle w:val="30"/>
                    <w:jc w:val="center"/>
                    <w:rPr>
                      <w:rFonts w:hint="default"/>
                      <w:sz w:val="24"/>
                      <w:szCs w:val="24"/>
                      <w:lang w:val="en-US" w:eastAsia="zh-CN"/>
                    </w:rPr>
                  </w:pPr>
                  <w:r>
                    <w:rPr>
                      <w:rFonts w:hint="eastAsia"/>
                      <w:sz w:val="24"/>
                      <w:szCs w:val="24"/>
                      <w:lang w:val="en-US" w:eastAsia="zh-CN"/>
                    </w:rPr>
                    <w:t>个</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846B28">
                  <w:pPr>
                    <w:pStyle w:val="30"/>
                    <w:jc w:val="center"/>
                    <w:rPr>
                      <w:rFonts w:hint="default"/>
                      <w:sz w:val="24"/>
                      <w:szCs w:val="24"/>
                      <w:lang w:val="en-US" w:eastAsia="zh-CN"/>
                    </w:rPr>
                  </w:pPr>
                  <w:r>
                    <w:rPr>
                      <w:rFonts w:hint="eastAsia"/>
                      <w:sz w:val="24"/>
                      <w:szCs w:val="24"/>
                      <w:lang w:val="en-US" w:eastAsia="zh-CN"/>
                    </w:rPr>
                    <w:t>1</w:t>
                  </w:r>
                </w:p>
              </w:tc>
            </w:tr>
            <w:tr w14:paraId="17C8F1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186D5D">
                  <w:pPr>
                    <w:pStyle w:val="30"/>
                    <w:jc w:val="center"/>
                    <w:rPr>
                      <w:rFonts w:hint="default" w:eastAsia="宋体"/>
                      <w:lang w:val="en-US" w:eastAsia="zh-CN"/>
                    </w:rPr>
                  </w:pPr>
                  <w:r>
                    <w:rPr>
                      <w:rFonts w:hint="eastAsia"/>
                      <w:lang w:val="en-US" w:eastAsia="zh-CN"/>
                    </w:rPr>
                    <w:t>5</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3C7429">
                  <w:pPr>
                    <w:pStyle w:val="30"/>
                    <w:jc w:val="center"/>
                    <w:rPr>
                      <w:rFonts w:hint="default"/>
                      <w:sz w:val="24"/>
                      <w:szCs w:val="24"/>
                      <w:highlight w:val="none"/>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鼻阻力专用车</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E33F36">
                  <w:pPr>
                    <w:pStyle w:val="30"/>
                    <w:jc w:val="center"/>
                    <w:rPr>
                      <w:rFonts w:hint="eastAsia" w:eastAsia="宋体"/>
                      <w:sz w:val="24"/>
                      <w:szCs w:val="24"/>
                      <w:lang w:val="en-US" w:eastAsia="zh-CN"/>
                    </w:rPr>
                  </w:pPr>
                  <w:r>
                    <w:rPr>
                      <w:rFonts w:hint="eastAsia"/>
                      <w:sz w:val="24"/>
                      <w:szCs w:val="24"/>
                      <w:lang w:val="en-US" w:eastAsia="zh-CN"/>
                    </w:rPr>
                    <w:t>台</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287065">
                  <w:pPr>
                    <w:pStyle w:val="30"/>
                    <w:jc w:val="center"/>
                    <w:rPr>
                      <w:rFonts w:hint="eastAsia" w:eastAsia="宋体"/>
                      <w:sz w:val="24"/>
                      <w:szCs w:val="24"/>
                      <w:lang w:val="en-US" w:eastAsia="zh-CN"/>
                    </w:rPr>
                  </w:pPr>
                  <w:r>
                    <w:rPr>
                      <w:rFonts w:hint="eastAsia"/>
                      <w:sz w:val="24"/>
                      <w:szCs w:val="24"/>
                      <w:lang w:val="en-US" w:eastAsia="zh-CN"/>
                    </w:rPr>
                    <w:t>1</w:t>
                  </w:r>
                </w:p>
              </w:tc>
            </w:tr>
            <w:tr w14:paraId="175B11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center"/>
                </w:tcPr>
                <w:p w14:paraId="03DFF9E2">
                  <w:pPr>
                    <w:pStyle w:val="30"/>
                    <w:jc w:val="center"/>
                    <w:rPr>
                      <w:rFonts w:hint="eastAsia" w:eastAsia="宋体"/>
                      <w:lang w:eastAsia="zh-CN"/>
                    </w:rPr>
                  </w:pPr>
                  <w:r>
                    <w:rPr>
                      <w:rFonts w:hint="eastAsia"/>
                      <w:sz w:val="21"/>
                      <w:lang w:val="en-US" w:eastAsia="zh-CN"/>
                    </w:rPr>
                    <w:t>6</w:t>
                  </w:r>
                </w:p>
              </w:tc>
              <w:tc>
                <w:tcPr>
                  <w:tcW w:w="3288" w:type="dxa"/>
                  <w:tcBorders>
                    <w:top w:val="nil"/>
                    <w:left w:val="nil"/>
                    <w:bottom w:val="single" w:color="auto" w:sz="4" w:space="0"/>
                    <w:right w:val="single" w:color="000000" w:sz="4" w:space="0"/>
                  </w:tcBorders>
                  <w:tcMar>
                    <w:top w:w="0" w:type="dxa"/>
                    <w:left w:w="105" w:type="dxa"/>
                    <w:bottom w:w="0" w:type="dxa"/>
                    <w:right w:w="105" w:type="dxa"/>
                  </w:tcMar>
                  <w:vAlign w:val="center"/>
                </w:tcPr>
                <w:p w14:paraId="0014622F">
                  <w:pPr>
                    <w:pStyle w:val="30"/>
                    <w:jc w:val="center"/>
                    <w:rPr>
                      <w:rFonts w:hint="default"/>
                      <w:highlight w:val="none"/>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成人橄榄头</w:t>
                  </w:r>
                </w:p>
              </w:tc>
              <w:tc>
                <w:tcPr>
                  <w:tcW w:w="792" w:type="dxa"/>
                  <w:tcBorders>
                    <w:top w:val="nil"/>
                    <w:left w:val="nil"/>
                    <w:bottom w:val="single" w:color="auto" w:sz="4" w:space="0"/>
                    <w:right w:val="single" w:color="000000" w:sz="4" w:space="0"/>
                  </w:tcBorders>
                  <w:tcMar>
                    <w:top w:w="0" w:type="dxa"/>
                    <w:left w:w="105" w:type="dxa"/>
                    <w:bottom w:w="0" w:type="dxa"/>
                    <w:right w:w="105" w:type="dxa"/>
                  </w:tcMar>
                  <w:vAlign w:val="center"/>
                </w:tcPr>
                <w:p w14:paraId="7F86B846">
                  <w:pPr>
                    <w:pStyle w:val="30"/>
                    <w:jc w:val="center"/>
                    <w:rPr>
                      <w:rFonts w:hint="eastAsia" w:eastAsia="宋体"/>
                      <w:highlight w:val="none"/>
                      <w:lang w:val="en-US" w:eastAsia="zh-CN"/>
                    </w:rPr>
                  </w:pPr>
                  <w:r>
                    <w:rPr>
                      <w:rFonts w:hint="eastAsia"/>
                      <w:highlight w:val="none"/>
                      <w:lang w:val="en-US" w:eastAsia="zh-CN"/>
                    </w:rPr>
                    <w:t>个</w:t>
                  </w:r>
                </w:p>
              </w:tc>
              <w:tc>
                <w:tcPr>
                  <w:tcW w:w="792" w:type="dxa"/>
                  <w:tcBorders>
                    <w:top w:val="nil"/>
                    <w:left w:val="nil"/>
                    <w:bottom w:val="single" w:color="auto" w:sz="4" w:space="0"/>
                    <w:right w:val="single" w:color="000000" w:sz="4" w:space="0"/>
                  </w:tcBorders>
                  <w:tcMar>
                    <w:top w:w="0" w:type="dxa"/>
                    <w:left w:w="105" w:type="dxa"/>
                    <w:bottom w:w="0" w:type="dxa"/>
                    <w:right w:w="105" w:type="dxa"/>
                  </w:tcMar>
                  <w:vAlign w:val="center"/>
                </w:tcPr>
                <w:p w14:paraId="504B5829">
                  <w:pPr>
                    <w:pStyle w:val="30"/>
                    <w:jc w:val="center"/>
                    <w:rPr>
                      <w:rFonts w:hint="default"/>
                      <w:sz w:val="21"/>
                      <w:highlight w:val="none"/>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20</w:t>
                  </w:r>
                </w:p>
              </w:tc>
            </w:tr>
            <w:tr w14:paraId="31EE4E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72C764A7">
                  <w:pPr>
                    <w:pStyle w:val="30"/>
                    <w:jc w:val="center"/>
                    <w:rPr>
                      <w:rFonts w:hint="eastAsia" w:eastAsia="宋体"/>
                      <w:sz w:val="21"/>
                      <w:lang w:val="en-US" w:eastAsia="zh-CN"/>
                    </w:rPr>
                  </w:pPr>
                  <w:r>
                    <w:rPr>
                      <w:rFonts w:hint="eastAsia"/>
                      <w:sz w:val="21"/>
                      <w:lang w:val="en-US" w:eastAsia="zh-CN"/>
                    </w:rPr>
                    <w:t>7</w:t>
                  </w:r>
                </w:p>
              </w:tc>
              <w:tc>
                <w:tcPr>
                  <w:tcW w:w="3288" w:type="dxa"/>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3019D411">
                  <w:pPr>
                    <w:pStyle w:val="30"/>
                    <w:jc w:val="cente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儿童橄榄头</w:t>
                  </w:r>
                </w:p>
              </w:tc>
              <w:tc>
                <w:tcPr>
                  <w:tcW w:w="792" w:type="dxa"/>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6AE069D3">
                  <w:pPr>
                    <w:pStyle w:val="30"/>
                    <w:jc w:val="center"/>
                    <w:rPr>
                      <w:rFonts w:hint="eastAsia"/>
                      <w:highlight w:val="none"/>
                      <w:lang w:val="en-US" w:eastAsia="zh-CN"/>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个</w:t>
                  </w:r>
                </w:p>
              </w:tc>
              <w:tc>
                <w:tcPr>
                  <w:tcW w:w="792" w:type="dxa"/>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361DA7DE">
                  <w:pPr>
                    <w:pStyle w:val="30"/>
                    <w:jc w:val="cente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10</w:t>
                  </w:r>
                </w:p>
              </w:tc>
            </w:tr>
            <w:tr w14:paraId="0F400B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122A75CB">
                  <w:pPr>
                    <w:pStyle w:val="30"/>
                    <w:jc w:val="center"/>
                    <w:rPr>
                      <w:rFonts w:hint="eastAsia" w:eastAsia="宋体"/>
                      <w:sz w:val="21"/>
                      <w:lang w:val="en-US" w:eastAsia="zh-CN"/>
                    </w:rPr>
                  </w:pPr>
                  <w:r>
                    <w:rPr>
                      <w:rFonts w:hint="eastAsia"/>
                      <w:sz w:val="21"/>
                      <w:lang w:val="en-US" w:eastAsia="zh-CN"/>
                    </w:rPr>
                    <w:t>8</w:t>
                  </w:r>
                </w:p>
              </w:tc>
              <w:tc>
                <w:tcPr>
                  <w:tcW w:w="3288" w:type="dxa"/>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355B4ACE">
                  <w:pPr>
                    <w:pStyle w:val="30"/>
                    <w:jc w:val="cente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面罩</w:t>
                  </w:r>
                </w:p>
              </w:tc>
              <w:tc>
                <w:tcPr>
                  <w:tcW w:w="792" w:type="dxa"/>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5FD9CE34">
                  <w:pPr>
                    <w:pStyle w:val="30"/>
                    <w:jc w:val="center"/>
                    <w:rPr>
                      <w:rFonts w:hint="default"/>
                      <w:highlight w:val="none"/>
                      <w:lang w:val="en-US" w:eastAsia="zh-CN"/>
                    </w:rPr>
                  </w:pPr>
                  <w:r>
                    <w:rPr>
                      <w:rFonts w:hint="eastAsia"/>
                      <w:highlight w:val="none"/>
                      <w:lang w:val="en-US" w:eastAsia="zh-CN"/>
                    </w:rPr>
                    <w:t>个</w:t>
                  </w:r>
                </w:p>
              </w:tc>
              <w:tc>
                <w:tcPr>
                  <w:tcW w:w="792" w:type="dxa"/>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6D16B491">
                  <w:pPr>
                    <w:pStyle w:val="30"/>
                    <w:jc w:val="center"/>
                    <w:rPr>
                      <w:rFonts w:hint="default"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t>10</w:t>
                  </w:r>
                </w:p>
              </w:tc>
            </w:tr>
          </w:tbl>
          <w:p w14:paraId="5EAF2F2C">
            <w:pPr>
              <w:pStyle w:val="30"/>
              <w:spacing w:line="400" w:lineRule="exact"/>
              <w:rPr>
                <w:rFonts w:hint="default" w:ascii="仿宋" w:hAnsi="仿宋" w:eastAsia="仿宋" w:cs="仿宋"/>
                <w:sz w:val="24"/>
                <w:szCs w:val="24"/>
                <w:lang w:eastAsia="zh-CN"/>
              </w:rPr>
            </w:pPr>
            <w:r>
              <w:rPr>
                <w:sz w:val="21"/>
              </w:rPr>
              <w:t>以上</w:t>
            </w:r>
            <w:r>
              <w:rPr>
                <w:sz w:val="21"/>
                <w:lang w:eastAsia="zh-CN"/>
              </w:rPr>
              <w:t>配置</w:t>
            </w:r>
            <w:r>
              <w:rPr>
                <w:sz w:val="21"/>
              </w:rPr>
              <w:t>不排除遗漏的可能性，供应商应自行添加必要的</w:t>
            </w:r>
            <w:r>
              <w:rPr>
                <w:sz w:val="21"/>
                <w:lang w:eastAsia="zh-CN"/>
              </w:rPr>
              <w:t>配置</w:t>
            </w:r>
            <w:r>
              <w:rPr>
                <w:sz w:val="21"/>
              </w:rPr>
              <w:t>以保证设备</w:t>
            </w:r>
            <w:r>
              <w:rPr>
                <w:sz w:val="21"/>
                <w:lang w:eastAsia="zh-CN"/>
              </w:rPr>
              <w:t>能</w:t>
            </w:r>
            <w:r>
              <w:rPr>
                <w:sz w:val="21"/>
              </w:rPr>
              <w:t>正常运转。否则，影响验收后果自负。</w:t>
            </w:r>
          </w:p>
        </w:tc>
      </w:tr>
      <w:tr w14:paraId="482DB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5" w:hRule="atLeast"/>
        </w:trPr>
        <w:tc>
          <w:tcPr>
            <w:tcW w:w="1845" w:type="dxa"/>
          </w:tcPr>
          <w:p w14:paraId="0C51F36D">
            <w:pPr>
              <w:pStyle w:val="30"/>
              <w:spacing w:line="400" w:lineRule="exact"/>
              <w:rPr>
                <w:rFonts w:hint="default" w:ascii="仿宋" w:hAnsi="仿宋" w:eastAsia="仿宋" w:cs="仿宋"/>
                <w:sz w:val="24"/>
                <w:szCs w:val="24"/>
              </w:rPr>
            </w:pPr>
            <w:r>
              <w:rPr>
                <w:rFonts w:ascii="仿宋" w:hAnsi="仿宋" w:eastAsia="仿宋" w:cs="仿宋"/>
                <w:sz w:val="24"/>
                <w:szCs w:val="24"/>
              </w:rPr>
              <w:t>说明</w:t>
            </w:r>
          </w:p>
        </w:tc>
        <w:tc>
          <w:tcPr>
            <w:tcW w:w="7293" w:type="dxa"/>
            <w:gridSpan w:val="2"/>
          </w:tcPr>
          <w:p w14:paraId="2C7FAB29">
            <w:pPr>
              <w:pStyle w:val="30"/>
              <w:spacing w:line="400" w:lineRule="exact"/>
              <w:rPr>
                <w:rFonts w:hint="default" w:ascii="仿宋" w:hAnsi="仿宋" w:eastAsia="仿宋" w:cs="仿宋"/>
                <w:sz w:val="24"/>
                <w:szCs w:val="24"/>
              </w:rPr>
            </w:pPr>
            <w:r>
              <w:rPr>
                <w:rFonts w:ascii="仿宋" w:hAnsi="仿宋" w:eastAsia="仿宋" w:cs="仿宋"/>
                <w:sz w:val="24"/>
                <w:szCs w:val="24"/>
              </w:rPr>
              <w:t>打“</w:t>
            </w:r>
            <w:bookmarkStart w:id="0" w:name="OLE_LINK5"/>
            <w:r>
              <w:rPr>
                <w:rFonts w:ascii="仿宋" w:hAnsi="仿宋" w:eastAsia="仿宋" w:cs="仿宋"/>
                <w:sz w:val="24"/>
                <w:szCs w:val="24"/>
              </w:rPr>
              <w:t>★</w:t>
            </w:r>
            <w:bookmarkEnd w:id="0"/>
            <w:r>
              <w:rPr>
                <w:rFonts w:ascii="仿宋" w:hAnsi="仿宋" w:eastAsia="仿宋" w:cs="仿宋"/>
                <w:sz w:val="24"/>
                <w:szCs w:val="24"/>
              </w:rPr>
              <w:t xml:space="preserve">”号条款为实质性条款，若有任何一条负偏离或不满足则导致投标无效。 </w:t>
            </w:r>
            <w:r>
              <w:rPr>
                <w:rFonts w:ascii="仿宋" w:hAnsi="仿宋" w:eastAsia="仿宋" w:cs="仿宋"/>
                <w:sz w:val="24"/>
                <w:szCs w:val="24"/>
              </w:rPr>
              <w:br w:type="textWrapping"/>
            </w:r>
            <w:r>
              <w:rPr>
                <w:rFonts w:ascii="仿宋" w:hAnsi="仿宋" w:eastAsia="仿宋" w:cs="仿宋"/>
                <w:sz w:val="24"/>
                <w:szCs w:val="24"/>
              </w:rPr>
              <w:t>打“▲”号条款为重要技术参数，若有部分“▲”条款未响应或不满足，将导致其响应性评审加重扣分，但不作为无效投标条款。</w:t>
            </w:r>
          </w:p>
        </w:tc>
      </w:tr>
    </w:tbl>
    <w:p w14:paraId="3834F56C">
      <w:pPr>
        <w:snapToGrid w:val="0"/>
        <w:spacing w:line="276" w:lineRule="auto"/>
        <w:ind w:firstLine="0"/>
        <w:rPr>
          <w:rFonts w:hint="eastAsia" w:ascii="仿宋_GB2312" w:hAnsi="仿宋"/>
          <w:b/>
          <w:szCs w:val="32"/>
        </w:rPr>
      </w:pPr>
    </w:p>
    <w:p w14:paraId="29482A84">
      <w:pPr>
        <w:snapToGrid w:val="0"/>
        <w:spacing w:line="276" w:lineRule="auto"/>
        <w:ind w:firstLine="0"/>
        <w:rPr>
          <w:rFonts w:hint="eastAsia" w:ascii="仿宋_GB2312" w:hAnsi="仿宋"/>
          <w:b/>
          <w:szCs w:val="32"/>
        </w:rPr>
      </w:pPr>
    </w:p>
    <w:p w14:paraId="09CCAC81">
      <w:pPr>
        <w:snapToGrid w:val="0"/>
        <w:spacing w:line="276" w:lineRule="auto"/>
        <w:ind w:firstLine="0"/>
        <w:rPr>
          <w:rFonts w:hint="eastAsia" w:ascii="仿宋_GB2312" w:hAnsi="仿宋"/>
          <w:b/>
          <w:szCs w:val="32"/>
        </w:rPr>
      </w:pPr>
      <w:r>
        <w:rPr>
          <w:rFonts w:hint="eastAsia" w:ascii="仿宋_GB2312" w:hAnsi="仿宋"/>
          <w:b/>
          <w:szCs w:val="32"/>
        </w:rPr>
        <w:t>评审因素及对应的分值、权重：</w:t>
      </w:r>
    </w:p>
    <w:tbl>
      <w:tblPr>
        <w:tblStyle w:val="12"/>
        <w:tblW w:w="909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5870"/>
      </w:tblGrid>
      <w:tr w14:paraId="749DD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tcPr>
          <w:p w14:paraId="64C6D165">
            <w:pPr>
              <w:ind w:firstLine="0"/>
              <w:rPr>
                <w:sz w:val="28"/>
                <w:szCs w:val="28"/>
              </w:rPr>
            </w:pPr>
            <w:r>
              <w:rPr>
                <w:sz w:val="28"/>
                <w:szCs w:val="28"/>
              </w:rPr>
              <w:t>评审因素</w:t>
            </w:r>
          </w:p>
        </w:tc>
        <w:tc>
          <w:tcPr>
            <w:tcW w:w="8246" w:type="dxa"/>
            <w:gridSpan w:val="2"/>
          </w:tcPr>
          <w:p w14:paraId="38111F94">
            <w:pPr>
              <w:jc w:val="center"/>
              <w:rPr>
                <w:sz w:val="28"/>
                <w:szCs w:val="28"/>
              </w:rPr>
            </w:pPr>
            <w:r>
              <w:rPr>
                <w:sz w:val="28"/>
                <w:szCs w:val="28"/>
              </w:rPr>
              <w:t>评审标准</w:t>
            </w:r>
          </w:p>
        </w:tc>
      </w:tr>
      <w:tr w14:paraId="5F32D8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074D1E34">
            <w:pPr>
              <w:ind w:firstLine="0"/>
              <w:rPr>
                <w:sz w:val="28"/>
                <w:szCs w:val="28"/>
              </w:rPr>
            </w:pPr>
            <w:r>
              <w:rPr>
                <w:sz w:val="28"/>
                <w:szCs w:val="28"/>
              </w:rPr>
              <w:t>分值构成</w:t>
            </w:r>
          </w:p>
        </w:tc>
        <w:tc>
          <w:tcPr>
            <w:tcW w:w="8246" w:type="dxa"/>
            <w:gridSpan w:val="2"/>
          </w:tcPr>
          <w:p w14:paraId="1D199FED">
            <w:pPr>
              <w:ind w:firstLine="0"/>
              <w:rPr>
                <w:sz w:val="28"/>
                <w:szCs w:val="28"/>
                <w:highlight w:val="none"/>
              </w:rPr>
            </w:pPr>
            <w:r>
              <w:rPr>
                <w:rFonts w:hint="eastAsia"/>
                <w:sz w:val="28"/>
                <w:szCs w:val="28"/>
                <w:highlight w:val="none"/>
              </w:rPr>
              <w:t>商务部分</w:t>
            </w:r>
            <w:r>
              <w:rPr>
                <w:rFonts w:hint="eastAsia"/>
                <w:sz w:val="28"/>
                <w:szCs w:val="28"/>
                <w:highlight w:val="none"/>
                <w:lang w:val="en-US" w:eastAsia="zh-CN"/>
              </w:rPr>
              <w:t>8</w:t>
            </w:r>
            <w:r>
              <w:rPr>
                <w:sz w:val="28"/>
                <w:szCs w:val="28"/>
                <w:highlight w:val="none"/>
              </w:rPr>
              <w:t>.0</w:t>
            </w:r>
            <w:r>
              <w:rPr>
                <w:rFonts w:hint="eastAsia"/>
                <w:sz w:val="28"/>
                <w:szCs w:val="28"/>
                <w:highlight w:val="none"/>
              </w:rPr>
              <w:t>分</w:t>
            </w:r>
          </w:p>
          <w:p w14:paraId="0A213E25">
            <w:pPr>
              <w:ind w:firstLine="0"/>
              <w:rPr>
                <w:sz w:val="28"/>
                <w:szCs w:val="28"/>
                <w:highlight w:val="none"/>
              </w:rPr>
            </w:pPr>
            <w:r>
              <w:rPr>
                <w:rFonts w:hint="eastAsia"/>
                <w:sz w:val="28"/>
                <w:szCs w:val="28"/>
                <w:highlight w:val="none"/>
              </w:rPr>
              <w:t>技术部分</w:t>
            </w:r>
            <w:r>
              <w:rPr>
                <w:sz w:val="28"/>
                <w:szCs w:val="28"/>
                <w:highlight w:val="none"/>
              </w:rPr>
              <w:t>6</w:t>
            </w:r>
            <w:r>
              <w:rPr>
                <w:rFonts w:hint="eastAsia"/>
                <w:sz w:val="28"/>
                <w:szCs w:val="28"/>
                <w:highlight w:val="none"/>
                <w:lang w:val="en-US" w:eastAsia="zh-CN"/>
              </w:rPr>
              <w:t>2</w:t>
            </w:r>
            <w:r>
              <w:rPr>
                <w:sz w:val="28"/>
                <w:szCs w:val="28"/>
                <w:highlight w:val="none"/>
              </w:rPr>
              <w:t>.0</w:t>
            </w:r>
            <w:r>
              <w:rPr>
                <w:rFonts w:hint="eastAsia"/>
                <w:sz w:val="28"/>
                <w:szCs w:val="28"/>
                <w:highlight w:val="none"/>
              </w:rPr>
              <w:t>分</w:t>
            </w:r>
          </w:p>
          <w:p w14:paraId="7E8D372D">
            <w:pPr>
              <w:ind w:firstLine="0"/>
              <w:rPr>
                <w:sz w:val="28"/>
                <w:szCs w:val="28"/>
                <w:highlight w:val="yellow"/>
              </w:rPr>
            </w:pPr>
            <w:r>
              <w:rPr>
                <w:rFonts w:hint="eastAsia"/>
                <w:sz w:val="28"/>
                <w:szCs w:val="28"/>
                <w:highlight w:val="none"/>
              </w:rPr>
              <w:t>报价得分</w:t>
            </w:r>
            <w:r>
              <w:rPr>
                <w:sz w:val="28"/>
                <w:szCs w:val="28"/>
                <w:highlight w:val="none"/>
              </w:rPr>
              <w:t>30.0</w:t>
            </w:r>
            <w:r>
              <w:rPr>
                <w:rFonts w:hint="eastAsia"/>
                <w:sz w:val="28"/>
                <w:szCs w:val="28"/>
                <w:highlight w:val="none"/>
              </w:rPr>
              <w:t>分</w:t>
            </w:r>
          </w:p>
        </w:tc>
      </w:tr>
      <w:tr w14:paraId="31C64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tcPr>
          <w:p w14:paraId="474D4850">
            <w:pPr>
              <w:ind w:firstLine="0"/>
              <w:rPr>
                <w:sz w:val="28"/>
                <w:szCs w:val="28"/>
              </w:rPr>
            </w:pPr>
            <w:r>
              <w:rPr>
                <w:sz w:val="28"/>
                <w:szCs w:val="28"/>
              </w:rPr>
              <w:t>技术部分</w:t>
            </w:r>
          </w:p>
        </w:tc>
        <w:tc>
          <w:tcPr>
            <w:tcW w:w="2376" w:type="dxa"/>
          </w:tcPr>
          <w:p w14:paraId="03D856CD">
            <w:pPr>
              <w:ind w:firstLine="0"/>
              <w:jc w:val="left"/>
              <w:rPr>
                <w:sz w:val="28"/>
                <w:szCs w:val="28"/>
              </w:rPr>
            </w:pPr>
            <w:r>
              <w:rPr>
                <w:sz w:val="28"/>
                <w:szCs w:val="28"/>
              </w:rPr>
              <w:t>重要技术条款响应  (</w:t>
            </w:r>
            <w:r>
              <w:rPr>
                <w:rFonts w:hint="eastAsia"/>
                <w:sz w:val="28"/>
                <w:szCs w:val="28"/>
              </w:rPr>
              <w:t>3</w:t>
            </w:r>
            <w:r>
              <w:rPr>
                <w:rFonts w:hint="eastAsia"/>
                <w:sz w:val="28"/>
                <w:szCs w:val="28"/>
                <w:lang w:val="en-US" w:eastAsia="zh-CN"/>
              </w:rPr>
              <w:t>0</w:t>
            </w:r>
            <w:r>
              <w:rPr>
                <w:sz w:val="28"/>
                <w:szCs w:val="28"/>
              </w:rPr>
              <w:t>分)</w:t>
            </w:r>
          </w:p>
        </w:tc>
        <w:tc>
          <w:tcPr>
            <w:tcW w:w="5870" w:type="dxa"/>
          </w:tcPr>
          <w:p w14:paraId="1B0F1D57">
            <w:pPr>
              <w:ind w:firstLine="0"/>
              <w:rPr>
                <w:sz w:val="28"/>
                <w:szCs w:val="28"/>
              </w:rPr>
            </w:pPr>
            <w:r>
              <w:rPr>
                <w:sz w:val="28"/>
                <w:szCs w:val="28"/>
              </w:rPr>
              <w:t>根据各</w:t>
            </w:r>
            <w:r>
              <w:rPr>
                <w:rFonts w:hint="eastAsia"/>
                <w:sz w:val="28"/>
                <w:szCs w:val="28"/>
              </w:rPr>
              <w:t>投标人</w:t>
            </w:r>
            <w:r>
              <w:rPr>
                <w:sz w:val="28"/>
                <w:szCs w:val="28"/>
              </w:rPr>
              <w:t>对</w:t>
            </w:r>
            <w:r>
              <w:rPr>
                <w:rFonts w:hint="eastAsia"/>
                <w:sz w:val="28"/>
                <w:szCs w:val="28"/>
              </w:rPr>
              <w:t>招标</w:t>
            </w:r>
            <w:r>
              <w:rPr>
                <w:sz w:val="28"/>
                <w:szCs w:val="28"/>
              </w:rPr>
              <w:t>文件技术</w:t>
            </w:r>
            <w:r>
              <w:rPr>
                <w:rFonts w:hint="eastAsia"/>
                <w:sz w:val="28"/>
                <w:szCs w:val="28"/>
              </w:rPr>
              <w:t>参数</w:t>
            </w:r>
            <w:r>
              <w:rPr>
                <w:sz w:val="28"/>
                <w:szCs w:val="28"/>
              </w:rPr>
              <w:t>要求中</w:t>
            </w:r>
            <w:r>
              <w:rPr>
                <w:rFonts w:hint="eastAsia"/>
                <w:sz w:val="28"/>
                <w:szCs w:val="28"/>
              </w:rPr>
              <w:t>重要参数</w:t>
            </w:r>
            <w:r>
              <w:rPr>
                <w:sz w:val="28"/>
                <w:szCs w:val="28"/>
              </w:rPr>
              <w:t>“▲”条款</w:t>
            </w:r>
            <w:r>
              <w:rPr>
                <w:rFonts w:hint="eastAsia"/>
                <w:sz w:val="28"/>
                <w:szCs w:val="28"/>
              </w:rPr>
              <w:t>（共</w:t>
            </w:r>
            <w:r>
              <w:rPr>
                <w:rFonts w:hint="eastAsia"/>
                <w:sz w:val="28"/>
                <w:szCs w:val="28"/>
                <w:lang w:val="en-US" w:eastAsia="zh-CN"/>
              </w:rPr>
              <w:t>5</w:t>
            </w:r>
            <w:r>
              <w:rPr>
                <w:rFonts w:hint="eastAsia"/>
                <w:sz w:val="28"/>
                <w:szCs w:val="28"/>
              </w:rPr>
              <w:t>条）</w:t>
            </w:r>
            <w:r>
              <w:rPr>
                <w:sz w:val="28"/>
                <w:szCs w:val="28"/>
              </w:rPr>
              <w:t>的响应程度进行评分：全部响应得</w:t>
            </w:r>
            <w:r>
              <w:rPr>
                <w:rFonts w:hint="eastAsia"/>
                <w:sz w:val="28"/>
                <w:szCs w:val="28"/>
                <w:lang w:val="en-US" w:eastAsia="zh-CN"/>
              </w:rPr>
              <w:t>30</w:t>
            </w:r>
            <w:r>
              <w:rPr>
                <w:sz w:val="28"/>
                <w:szCs w:val="28"/>
              </w:rPr>
              <w:t>分，每有一项不响应的扣</w:t>
            </w:r>
            <w:r>
              <w:rPr>
                <w:rFonts w:hint="eastAsia"/>
                <w:sz w:val="28"/>
                <w:szCs w:val="28"/>
                <w:lang w:val="en-US" w:eastAsia="zh-CN"/>
              </w:rPr>
              <w:t>6</w:t>
            </w:r>
            <w:r>
              <w:rPr>
                <w:sz w:val="28"/>
                <w:szCs w:val="28"/>
              </w:rPr>
              <w:t xml:space="preserve">分。 </w:t>
            </w:r>
          </w:p>
          <w:p w14:paraId="65C5D283">
            <w:pPr>
              <w:jc w:val="left"/>
              <w:rPr>
                <w:sz w:val="28"/>
                <w:szCs w:val="28"/>
                <w:highlight w:val="yellow"/>
              </w:rPr>
            </w:pPr>
            <w:r>
              <w:rPr>
                <w:sz w:val="28"/>
                <w:szCs w:val="28"/>
              </w:rPr>
              <w:t>【注：</w:t>
            </w:r>
            <w:r>
              <w:rPr>
                <w:rFonts w:hint="eastAsia"/>
                <w:sz w:val="28"/>
                <w:szCs w:val="28"/>
              </w:rPr>
              <w:t>投标人</w:t>
            </w:r>
            <w:r>
              <w:rPr>
                <w:sz w:val="28"/>
                <w:szCs w:val="28"/>
              </w:rPr>
              <w:t>应对重要技术条款逐条进行响应，并提供证明材料。如采购需求中有明确要求提供证明材料的，则以采购需求要求的为准；</w:t>
            </w:r>
            <w:r>
              <w:rPr>
                <w:rFonts w:hint="eastAsia"/>
                <w:b/>
                <w:bCs/>
                <w:sz w:val="28"/>
                <w:szCs w:val="28"/>
              </w:rPr>
              <w:t>如采购需求中无明确要求证明材料的，则证明材料以①产品说明书或</w:t>
            </w:r>
            <w:r>
              <w:rPr>
                <w:rFonts w:hint="eastAsia" w:ascii="宋体" w:hAnsi="宋体" w:eastAsia="宋体" w:cs="宋体"/>
                <w:b/>
                <w:bCs/>
                <w:sz w:val="28"/>
                <w:szCs w:val="28"/>
              </w:rPr>
              <w:t>②</w:t>
            </w:r>
            <w:r>
              <w:rPr>
                <w:rFonts w:hint="eastAsia"/>
                <w:b/>
                <w:bCs/>
                <w:sz w:val="28"/>
                <w:szCs w:val="28"/>
              </w:rPr>
              <w:t>厂家技术白皮书（如厂家的技术白皮书为英文版，请同时提供中文版） 。投标人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重要技术条款将视为负偏离。</w:t>
            </w:r>
            <w:r>
              <w:rPr>
                <w:sz w:val="28"/>
                <w:szCs w:val="28"/>
              </w:rPr>
              <w:t>】</w:t>
            </w:r>
          </w:p>
        </w:tc>
      </w:tr>
      <w:tr w14:paraId="5D800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tcPr>
          <w:p w14:paraId="13FE5F8E">
            <w:pPr>
              <w:jc w:val="center"/>
              <w:rPr>
                <w:sz w:val="28"/>
                <w:szCs w:val="28"/>
              </w:rPr>
            </w:pPr>
          </w:p>
        </w:tc>
        <w:tc>
          <w:tcPr>
            <w:tcW w:w="2376" w:type="dxa"/>
          </w:tcPr>
          <w:p w14:paraId="25A7802C">
            <w:pPr>
              <w:ind w:firstLine="0"/>
              <w:jc w:val="left"/>
              <w:rPr>
                <w:sz w:val="28"/>
                <w:szCs w:val="28"/>
              </w:rPr>
            </w:pPr>
            <w:r>
              <w:rPr>
                <w:sz w:val="28"/>
                <w:szCs w:val="28"/>
              </w:rPr>
              <w:t>一般技术条款响应 (</w:t>
            </w:r>
            <w:r>
              <w:rPr>
                <w:rFonts w:hint="eastAsia"/>
                <w:sz w:val="28"/>
                <w:szCs w:val="28"/>
                <w:lang w:val="en-US" w:eastAsia="zh-CN"/>
              </w:rPr>
              <w:t>9</w:t>
            </w:r>
            <w:r>
              <w:rPr>
                <w:sz w:val="28"/>
                <w:szCs w:val="28"/>
              </w:rPr>
              <w:t>分)</w:t>
            </w:r>
          </w:p>
        </w:tc>
        <w:tc>
          <w:tcPr>
            <w:tcW w:w="5870" w:type="dxa"/>
          </w:tcPr>
          <w:p w14:paraId="0CA590C8">
            <w:pPr>
              <w:ind w:firstLine="0"/>
              <w:jc w:val="left"/>
              <w:rPr>
                <w:sz w:val="28"/>
                <w:szCs w:val="28"/>
              </w:rPr>
            </w:pPr>
            <w:r>
              <w:rPr>
                <w:rFonts w:hint="eastAsia"/>
                <w:sz w:val="28"/>
                <w:szCs w:val="28"/>
              </w:rPr>
              <w:t>根据各投标人对招标文件技术参数要求中一般技术条款（共</w:t>
            </w:r>
            <w:r>
              <w:rPr>
                <w:rFonts w:hint="eastAsia"/>
                <w:sz w:val="28"/>
                <w:szCs w:val="28"/>
                <w:lang w:val="en-US" w:eastAsia="zh-CN"/>
              </w:rPr>
              <w:t>3</w:t>
            </w:r>
            <w:r>
              <w:rPr>
                <w:rFonts w:hint="eastAsia"/>
                <w:sz w:val="28"/>
                <w:szCs w:val="28"/>
              </w:rPr>
              <w:t>条）（非“▲”或“★”条款）的响应程度进行评分，全部响应得</w:t>
            </w:r>
            <w:r>
              <w:rPr>
                <w:rFonts w:hint="eastAsia"/>
                <w:sz w:val="28"/>
                <w:szCs w:val="28"/>
                <w:lang w:val="en-US" w:eastAsia="zh-CN"/>
              </w:rPr>
              <w:t>9</w:t>
            </w:r>
            <w:r>
              <w:rPr>
                <w:rFonts w:hint="eastAsia"/>
                <w:sz w:val="28"/>
                <w:szCs w:val="28"/>
              </w:rPr>
              <w:t>分，每有一项不响应的扣</w:t>
            </w:r>
            <w:r>
              <w:rPr>
                <w:rFonts w:hint="eastAsia"/>
                <w:sz w:val="28"/>
                <w:szCs w:val="28"/>
                <w:lang w:val="en-US" w:eastAsia="zh-CN"/>
              </w:rPr>
              <w:t>3</w:t>
            </w:r>
            <w:r>
              <w:rPr>
                <w:rFonts w:hint="eastAsia"/>
                <w:sz w:val="28"/>
                <w:szCs w:val="28"/>
              </w:rPr>
              <w:t xml:space="preserve">分。 </w:t>
            </w:r>
          </w:p>
          <w:p w14:paraId="04B765DF">
            <w:pPr>
              <w:jc w:val="left"/>
            </w:pPr>
            <w:r>
              <w:rPr>
                <w:sz w:val="28"/>
                <w:szCs w:val="28"/>
              </w:rPr>
              <w:t>【注：</w:t>
            </w:r>
            <w:r>
              <w:rPr>
                <w:rFonts w:hint="eastAsia"/>
                <w:sz w:val="28"/>
                <w:szCs w:val="28"/>
              </w:rPr>
              <w:t>投标人</w:t>
            </w:r>
            <w:r>
              <w:rPr>
                <w:sz w:val="28"/>
                <w:szCs w:val="28"/>
              </w:rPr>
              <w:t>应对</w:t>
            </w:r>
            <w:r>
              <w:rPr>
                <w:rFonts w:hint="eastAsia"/>
                <w:sz w:val="28"/>
                <w:szCs w:val="28"/>
              </w:rPr>
              <w:t>一般</w:t>
            </w:r>
            <w:r>
              <w:rPr>
                <w:sz w:val="28"/>
                <w:szCs w:val="28"/>
              </w:rPr>
              <w:t>技术条款逐条进行响应，并提供证明材料。如采购需求中有明确要求提供证明材料的，则以采购需求要求的为准；</w:t>
            </w:r>
            <w:r>
              <w:rPr>
                <w:rFonts w:hint="eastAsia"/>
                <w:b/>
                <w:bCs/>
                <w:sz w:val="28"/>
                <w:szCs w:val="28"/>
              </w:rPr>
              <w:t>如采购需求中无明确要求证明材料的，则证明材料以①产品说明书或</w:t>
            </w:r>
            <w:r>
              <w:rPr>
                <w:rFonts w:hint="eastAsia" w:ascii="宋体" w:hAnsi="宋体" w:eastAsia="宋体" w:cs="宋体"/>
                <w:b/>
                <w:bCs/>
                <w:sz w:val="28"/>
                <w:szCs w:val="28"/>
              </w:rPr>
              <w:t>②</w:t>
            </w:r>
            <w:r>
              <w:rPr>
                <w:rFonts w:hint="eastAsia"/>
                <w:b/>
                <w:bCs/>
                <w:sz w:val="28"/>
                <w:szCs w:val="28"/>
              </w:rPr>
              <w:t>厂家技术白皮书（如厂家的技术白皮书为英文版，请同时提供中文版）</w:t>
            </w:r>
            <w:r>
              <w:rPr>
                <w:b/>
                <w:bCs/>
                <w:sz w:val="28"/>
                <w:szCs w:val="28"/>
              </w:rPr>
              <w:t xml:space="preserve"> </w:t>
            </w:r>
            <w:r>
              <w:rPr>
                <w:rFonts w:hint="eastAsia"/>
                <w:b/>
                <w:bCs/>
                <w:sz w:val="28"/>
                <w:szCs w:val="28"/>
              </w:rPr>
              <w:t>。投标人需对证明材料中的技术参数响应内容所在位置进行圈记或明确标识。凡不符合上述要求的证明材料、证明材料模糊不清晰或未对证明材料中的技术参数响应内容所在位置进行圈记或明确标识，导致评审专家无法认定的，该一般技术条款将视为负偏离。</w:t>
            </w:r>
            <w:r>
              <w:rPr>
                <w:sz w:val="28"/>
                <w:szCs w:val="28"/>
              </w:rPr>
              <w:t>】</w:t>
            </w:r>
          </w:p>
        </w:tc>
      </w:tr>
      <w:tr w14:paraId="1A7F7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7B644F1C">
            <w:pPr>
              <w:jc w:val="center"/>
              <w:rPr>
                <w:sz w:val="28"/>
                <w:szCs w:val="28"/>
              </w:rPr>
            </w:pPr>
          </w:p>
        </w:tc>
        <w:tc>
          <w:tcPr>
            <w:tcW w:w="2376" w:type="dxa"/>
            <w:shd w:val="clear" w:color="auto" w:fill="auto"/>
            <w:vAlign w:val="top"/>
          </w:tcPr>
          <w:p w14:paraId="366539DC">
            <w:pPr>
              <w:ind w:firstLine="0" w:firstLineChars="0"/>
              <w:jc w:val="left"/>
              <w:rPr>
                <w:rFonts w:ascii="Times New Roman" w:hAnsi="Times New Roman" w:eastAsia="仿宋_GB2312" w:cs="Times New Roman"/>
                <w:kern w:val="2"/>
                <w:sz w:val="28"/>
                <w:szCs w:val="28"/>
                <w:lang w:val="en-US" w:eastAsia="zh-CN" w:bidi="ar-SA"/>
              </w:rPr>
            </w:pPr>
            <w:r>
              <w:rPr>
                <w:rFonts w:hint="eastAsia" w:ascii="仿宋" w:hAnsi="仿宋" w:eastAsia="仿宋"/>
                <w:sz w:val="28"/>
                <w:szCs w:val="28"/>
              </w:rPr>
              <w:t>安装与调试方案（</w:t>
            </w:r>
            <w:r>
              <w:rPr>
                <w:rFonts w:ascii="仿宋" w:hAnsi="仿宋" w:eastAsia="仿宋"/>
                <w:sz w:val="28"/>
                <w:szCs w:val="28"/>
              </w:rPr>
              <w:t>8</w:t>
            </w:r>
            <w:r>
              <w:rPr>
                <w:rFonts w:hint="eastAsia" w:ascii="仿宋" w:hAnsi="仿宋" w:eastAsia="仿宋"/>
                <w:sz w:val="28"/>
                <w:szCs w:val="28"/>
              </w:rPr>
              <w:t>.</w:t>
            </w:r>
            <w:r>
              <w:rPr>
                <w:rFonts w:ascii="仿宋" w:hAnsi="仿宋" w:eastAsia="仿宋"/>
                <w:sz w:val="28"/>
                <w:szCs w:val="28"/>
              </w:rPr>
              <w:t>0</w:t>
            </w:r>
            <w:r>
              <w:rPr>
                <w:rFonts w:hint="eastAsia" w:ascii="仿宋" w:hAnsi="仿宋" w:eastAsia="仿宋"/>
                <w:sz w:val="28"/>
                <w:szCs w:val="28"/>
              </w:rPr>
              <w:t>分）</w:t>
            </w:r>
          </w:p>
        </w:tc>
        <w:tc>
          <w:tcPr>
            <w:tcW w:w="5870" w:type="dxa"/>
            <w:shd w:val="clear" w:color="auto" w:fill="auto"/>
            <w:vAlign w:val="top"/>
          </w:tcPr>
          <w:p w14:paraId="5DDF11C7">
            <w:pPr>
              <w:ind w:firstLine="0"/>
              <w:rPr>
                <w:rFonts w:ascii="仿宋" w:hAnsi="仿宋" w:eastAsia="仿宋"/>
                <w:sz w:val="28"/>
                <w:szCs w:val="28"/>
              </w:rPr>
            </w:pPr>
            <w:r>
              <w:rPr>
                <w:rFonts w:hint="eastAsia" w:ascii="仿宋" w:hAnsi="仿宋" w:eastAsia="仿宋"/>
                <w:sz w:val="28"/>
                <w:szCs w:val="28"/>
              </w:rPr>
              <w:t>根据投标人提供的安装与调试方案（包括但不限于：①安装与调试的方案；②安装与调试的人员安排；③调试场地内的货物、设施的保护措施）进行评审：</w:t>
            </w:r>
          </w:p>
          <w:p w14:paraId="1C0DDBC9">
            <w:pPr>
              <w:ind w:firstLine="0"/>
              <w:rPr>
                <w:rFonts w:ascii="仿宋" w:hAnsi="仿宋" w:eastAsia="仿宋"/>
                <w:sz w:val="28"/>
                <w:szCs w:val="28"/>
              </w:rPr>
            </w:pPr>
            <w:r>
              <w:rPr>
                <w:rFonts w:hint="eastAsia" w:ascii="仿宋" w:hAnsi="仿宋" w:eastAsia="仿宋"/>
                <w:sz w:val="28"/>
                <w:szCs w:val="28"/>
              </w:rPr>
              <w:t>（1）安装与调试方案完整详细、有针对性性，有明确的步骤和分工，能提供各项货物的安装调试计划安排表，体现专业性、及时性，能根据货物交付时间节点落实安装调试时间及相关人员安排，对安装调试场地的货物、设施有提出良好的保护措施和合理化建议，完全满足或优于采购需求，得</w:t>
            </w:r>
            <w:r>
              <w:rPr>
                <w:rFonts w:ascii="仿宋" w:hAnsi="仿宋" w:eastAsia="仿宋"/>
                <w:sz w:val="28"/>
                <w:szCs w:val="28"/>
              </w:rPr>
              <w:t>8</w:t>
            </w:r>
            <w:r>
              <w:rPr>
                <w:rFonts w:hint="eastAsia" w:ascii="仿宋" w:hAnsi="仿宋" w:eastAsia="仿宋"/>
                <w:sz w:val="28"/>
                <w:szCs w:val="28"/>
              </w:rPr>
              <w:t>分；</w:t>
            </w:r>
          </w:p>
          <w:p w14:paraId="3E800FD5">
            <w:pPr>
              <w:ind w:firstLine="0"/>
              <w:rPr>
                <w:rFonts w:ascii="仿宋" w:hAnsi="仿宋" w:eastAsia="仿宋"/>
                <w:sz w:val="28"/>
                <w:szCs w:val="28"/>
              </w:rPr>
            </w:pPr>
            <w:r>
              <w:rPr>
                <w:rFonts w:hint="eastAsia" w:ascii="仿宋" w:hAnsi="仿宋" w:eastAsia="仿宋"/>
                <w:sz w:val="28"/>
                <w:szCs w:val="28"/>
              </w:rPr>
              <w:t>（2）安装与调试服务计划完整，详细性和针对性有所欠缺，有明确的步骤和分工，能提供各项货物的详细安装调试计划安排表，能根据货物交付时间节点落实人员安排，有提出对安装调试场地的货物、设施的保护措施，部分满足采购需求，得</w:t>
            </w:r>
            <w:r>
              <w:rPr>
                <w:rFonts w:hint="eastAsia" w:ascii="仿宋" w:hAnsi="仿宋" w:eastAsia="仿宋"/>
                <w:sz w:val="28"/>
                <w:szCs w:val="28"/>
                <w:lang w:val="en-US" w:eastAsia="zh-CN"/>
              </w:rPr>
              <w:t>5</w:t>
            </w:r>
            <w:r>
              <w:rPr>
                <w:rFonts w:hint="eastAsia" w:ascii="仿宋" w:hAnsi="仿宋" w:eastAsia="仿宋"/>
                <w:sz w:val="28"/>
                <w:szCs w:val="28"/>
              </w:rPr>
              <w:t>分；</w:t>
            </w:r>
          </w:p>
          <w:p w14:paraId="490C0034">
            <w:pPr>
              <w:ind w:firstLine="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）安装与调试服务计划不完整，无针对性，或无法提供各项货物的安装调试计划安排表，或未列明相关人员的安排，或缺乏对安装调试场地的货物、设施的保护措施，得</w:t>
            </w:r>
            <w:r>
              <w:rPr>
                <w:rFonts w:ascii="仿宋" w:hAnsi="仿宋" w:eastAsia="仿宋"/>
                <w:sz w:val="28"/>
                <w:szCs w:val="28"/>
              </w:rPr>
              <w:t>2</w:t>
            </w:r>
            <w:r>
              <w:rPr>
                <w:rFonts w:hint="eastAsia" w:ascii="仿宋" w:hAnsi="仿宋" w:eastAsia="仿宋"/>
                <w:sz w:val="28"/>
                <w:szCs w:val="28"/>
              </w:rPr>
              <w:t>分。</w:t>
            </w:r>
          </w:p>
          <w:p w14:paraId="55E3F5EA">
            <w:pPr>
              <w:ind w:firstLine="0" w:firstLineChars="0"/>
              <w:jc w:val="left"/>
              <w:rPr>
                <w:rFonts w:ascii="Times New Roman" w:hAnsi="Times New Roman" w:eastAsia="仿宋_GB2312" w:cs="Times New Roman"/>
                <w:kern w:val="2"/>
                <w:sz w:val="28"/>
                <w:szCs w:val="28"/>
                <w:lang w:val="en-US" w:eastAsia="zh-CN" w:bidi="ar-SA"/>
              </w:rPr>
            </w:pPr>
            <w:r>
              <w:rPr>
                <w:rFonts w:hint="eastAsia" w:ascii="仿宋" w:hAnsi="仿宋" w:eastAsia="仿宋"/>
                <w:sz w:val="28"/>
                <w:szCs w:val="28"/>
              </w:rPr>
              <w:t>（</w:t>
            </w:r>
            <w:r>
              <w:rPr>
                <w:rFonts w:ascii="仿宋" w:hAnsi="仿宋" w:eastAsia="仿宋"/>
                <w:sz w:val="28"/>
                <w:szCs w:val="28"/>
              </w:rPr>
              <w:t>4</w:t>
            </w:r>
            <w:r>
              <w:rPr>
                <w:rFonts w:hint="eastAsia" w:ascii="仿宋" w:hAnsi="仿宋" w:eastAsia="仿宋"/>
                <w:sz w:val="28"/>
                <w:szCs w:val="28"/>
              </w:rPr>
              <w:t>）不提供的不得分。</w:t>
            </w:r>
          </w:p>
        </w:tc>
      </w:tr>
      <w:tr w14:paraId="57C76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71A22F7D">
            <w:pPr>
              <w:jc w:val="center"/>
              <w:rPr>
                <w:sz w:val="28"/>
                <w:szCs w:val="28"/>
              </w:rPr>
            </w:pPr>
          </w:p>
        </w:tc>
        <w:tc>
          <w:tcPr>
            <w:tcW w:w="2376" w:type="dxa"/>
            <w:shd w:val="clear" w:color="auto" w:fill="auto"/>
            <w:vAlign w:val="top"/>
          </w:tcPr>
          <w:p w14:paraId="118BD300">
            <w:pPr>
              <w:ind w:firstLine="0" w:firstLineChars="0"/>
              <w:jc w:val="left"/>
              <w:rPr>
                <w:rFonts w:ascii="仿宋" w:hAnsi="仿宋" w:eastAsia="仿宋" w:cs="Times New Roman"/>
                <w:kern w:val="2"/>
                <w:sz w:val="28"/>
                <w:szCs w:val="28"/>
                <w:lang w:val="en-US" w:eastAsia="zh-CN" w:bidi="ar-SA"/>
              </w:rPr>
            </w:pPr>
            <w:r>
              <w:rPr>
                <w:rFonts w:ascii="仿宋" w:hAnsi="仿宋" w:eastAsia="仿宋"/>
                <w:sz w:val="28"/>
                <w:szCs w:val="28"/>
              </w:rPr>
              <w:t>售后服务方案 (8.0分)</w:t>
            </w:r>
          </w:p>
        </w:tc>
        <w:tc>
          <w:tcPr>
            <w:tcW w:w="5870" w:type="dxa"/>
            <w:shd w:val="clear" w:color="auto" w:fill="auto"/>
            <w:vAlign w:val="top"/>
          </w:tcPr>
          <w:p w14:paraId="2D7B0FA4">
            <w:pPr>
              <w:ind w:firstLine="0"/>
              <w:jc w:val="left"/>
              <w:rPr>
                <w:rFonts w:ascii="仿宋" w:hAnsi="仿宋" w:eastAsia="仿宋"/>
                <w:sz w:val="28"/>
                <w:szCs w:val="28"/>
              </w:rPr>
            </w:pPr>
            <w:r>
              <w:rPr>
                <w:rFonts w:hint="eastAsia" w:ascii="仿宋" w:hAnsi="仿宋" w:eastAsia="仿宋"/>
                <w:sz w:val="28"/>
                <w:szCs w:val="28"/>
              </w:rPr>
              <w:t>根据投标人提供的售后服务方案（包括但不限于：①投标人上门保修服务计划②产品退换货方案③配件的更换、维修及供货、④</w:t>
            </w:r>
            <w:r>
              <w:rPr>
                <w:rFonts w:ascii="仿宋" w:hAnsi="仿宋" w:eastAsia="仿宋"/>
                <w:sz w:val="28"/>
                <w:szCs w:val="28"/>
              </w:rPr>
              <w:t>响应时间的及时性</w:t>
            </w:r>
            <w:r>
              <w:rPr>
                <w:rFonts w:hint="eastAsia" w:ascii="仿宋" w:hAnsi="仿宋" w:eastAsia="仿宋"/>
                <w:sz w:val="28"/>
                <w:szCs w:val="28"/>
              </w:rPr>
              <w:t>、⑤</w:t>
            </w:r>
            <w:r>
              <w:rPr>
                <w:rFonts w:ascii="仿宋" w:hAnsi="仿宋" w:eastAsia="仿宋"/>
                <w:sz w:val="28"/>
                <w:szCs w:val="28"/>
              </w:rPr>
              <w:t>售后服务人员（专人跟进、服务沟通等）的安排</w:t>
            </w:r>
            <w:r>
              <w:rPr>
                <w:rFonts w:hint="eastAsia" w:ascii="仿宋" w:hAnsi="仿宋" w:eastAsia="仿宋"/>
                <w:sz w:val="28"/>
                <w:szCs w:val="28"/>
              </w:rPr>
              <w:t>。）进行评审：</w:t>
            </w:r>
          </w:p>
          <w:p w14:paraId="62E36D26">
            <w:pPr>
              <w:pStyle w:val="2"/>
              <w:numPr>
                <w:ilvl w:val="0"/>
                <w:numId w:val="2"/>
              </w:numPr>
              <w:ind w:firstLine="0"/>
              <w:rPr>
                <w:lang w:eastAsia="zh-CN"/>
              </w:rPr>
            </w:pPr>
            <w:r>
              <w:rPr>
                <w:rFonts w:hint="eastAsia" w:ascii="仿宋" w:hAnsi="仿宋" w:eastAsia="仿宋"/>
                <w:bCs w:val="0"/>
                <w:spacing w:val="0"/>
                <w:sz w:val="28"/>
                <w:szCs w:val="28"/>
                <w:lang w:eastAsia="zh-CN"/>
              </w:rPr>
              <w:t>保修服务计划的初步安排完整详细、有针对性，可提供投标人上门保修服务，针对产品及其配件的退换货、维修有详细的应对措施及相应的解决方案，配件（或部件或零部件）的供货充足、及时，有专人提供售后服务，人员组织架构完善、专业技术力量投入充分、技术人员组织安排及跟进处理流程详细，</w:t>
            </w:r>
            <w:r>
              <w:rPr>
                <w:rFonts w:ascii="仿宋" w:hAnsi="仿宋" w:eastAsia="仿宋"/>
                <w:bCs w:val="0"/>
                <w:spacing w:val="0"/>
                <w:sz w:val="28"/>
                <w:szCs w:val="28"/>
                <w:lang w:eastAsia="zh-CN"/>
              </w:rPr>
              <w:t>对日常维修和应急情况响应及时，到达时间</w:t>
            </w:r>
            <w:r>
              <w:rPr>
                <w:rFonts w:hint="eastAsia" w:ascii="仿宋" w:hAnsi="仿宋" w:eastAsia="仿宋"/>
                <w:bCs w:val="0"/>
                <w:spacing w:val="0"/>
                <w:sz w:val="28"/>
                <w:szCs w:val="28"/>
                <w:lang w:eastAsia="zh-CN"/>
              </w:rPr>
              <w:t>在8</w:t>
            </w:r>
            <w:r>
              <w:rPr>
                <w:rFonts w:ascii="仿宋" w:hAnsi="仿宋" w:eastAsia="仿宋"/>
                <w:bCs w:val="0"/>
                <w:spacing w:val="0"/>
                <w:sz w:val="28"/>
                <w:szCs w:val="28"/>
                <w:lang w:eastAsia="zh-CN"/>
              </w:rPr>
              <w:t>小时</w:t>
            </w:r>
            <w:r>
              <w:rPr>
                <w:rFonts w:hint="eastAsia" w:ascii="仿宋" w:hAnsi="仿宋" w:eastAsia="仿宋"/>
                <w:bCs w:val="0"/>
                <w:spacing w:val="0"/>
                <w:sz w:val="28"/>
                <w:szCs w:val="28"/>
                <w:lang w:eastAsia="zh-CN"/>
              </w:rPr>
              <w:t>内，完全满足或优于采购需求，得</w:t>
            </w:r>
            <w:r>
              <w:rPr>
                <w:rFonts w:ascii="仿宋" w:hAnsi="仿宋" w:eastAsia="仿宋"/>
                <w:bCs w:val="0"/>
                <w:spacing w:val="0"/>
                <w:sz w:val="28"/>
                <w:szCs w:val="28"/>
                <w:lang w:eastAsia="zh-CN"/>
              </w:rPr>
              <w:t>8</w:t>
            </w:r>
            <w:r>
              <w:rPr>
                <w:rFonts w:hint="eastAsia" w:ascii="仿宋" w:hAnsi="仿宋" w:eastAsia="仿宋"/>
                <w:bCs w:val="0"/>
                <w:spacing w:val="0"/>
                <w:sz w:val="28"/>
                <w:szCs w:val="28"/>
                <w:lang w:eastAsia="zh-CN"/>
              </w:rPr>
              <w:t>分；</w:t>
            </w:r>
          </w:p>
          <w:p w14:paraId="3099CA64">
            <w:pPr>
              <w:pStyle w:val="2"/>
              <w:numPr>
                <w:ilvl w:val="0"/>
                <w:numId w:val="2"/>
              </w:numPr>
              <w:ind w:firstLine="0"/>
              <w:rPr>
                <w:rFonts w:ascii="仿宋" w:hAnsi="仿宋" w:eastAsia="仿宋"/>
                <w:bCs w:val="0"/>
                <w:spacing w:val="0"/>
                <w:sz w:val="28"/>
                <w:szCs w:val="28"/>
                <w:lang w:eastAsia="zh-CN"/>
              </w:rPr>
            </w:pPr>
            <w:r>
              <w:rPr>
                <w:rFonts w:hint="eastAsia" w:ascii="仿宋" w:hAnsi="仿宋" w:eastAsia="仿宋"/>
                <w:bCs w:val="0"/>
                <w:spacing w:val="0"/>
                <w:sz w:val="28"/>
                <w:szCs w:val="28"/>
                <w:lang w:eastAsia="zh-CN"/>
              </w:rPr>
              <w:t>保修服务计划的初步安排完整，可提供投标人上门保修服务，以及为采购人提供配件（或部件或零部件）的更换、维修及供货，同时有专人提供售后服务，但售后服务人员的技术力量投入不够充分，售后服务的整体方案的详细性和针对性有所欠缺，</w:t>
            </w:r>
            <w:r>
              <w:rPr>
                <w:rFonts w:ascii="仿宋" w:hAnsi="仿宋" w:eastAsia="仿宋"/>
                <w:bCs w:val="0"/>
                <w:spacing w:val="0"/>
                <w:sz w:val="28"/>
                <w:szCs w:val="28"/>
                <w:lang w:eastAsia="zh-CN"/>
              </w:rPr>
              <w:t>对日常维修和应急情况响应及时，到达时间</w:t>
            </w:r>
            <w:r>
              <w:rPr>
                <w:rFonts w:hint="eastAsia" w:ascii="仿宋" w:hAnsi="仿宋" w:eastAsia="仿宋"/>
                <w:bCs w:val="0"/>
                <w:spacing w:val="0"/>
                <w:sz w:val="28"/>
                <w:szCs w:val="28"/>
                <w:lang w:eastAsia="zh-CN"/>
              </w:rPr>
              <w:t>在8</w:t>
            </w:r>
            <w:r>
              <w:rPr>
                <w:rFonts w:ascii="仿宋" w:hAnsi="仿宋" w:eastAsia="仿宋"/>
                <w:bCs w:val="0"/>
                <w:spacing w:val="0"/>
                <w:sz w:val="28"/>
                <w:szCs w:val="28"/>
                <w:lang w:eastAsia="zh-CN"/>
              </w:rPr>
              <w:t>-10</w:t>
            </w:r>
            <w:r>
              <w:rPr>
                <w:rFonts w:hint="eastAsia" w:ascii="仿宋" w:hAnsi="仿宋" w:eastAsia="仿宋"/>
                <w:bCs w:val="0"/>
                <w:spacing w:val="0"/>
                <w:sz w:val="28"/>
                <w:szCs w:val="28"/>
                <w:lang w:eastAsia="zh-CN"/>
              </w:rPr>
              <w:t>小时内，部分满足采购需求，得</w:t>
            </w:r>
            <w:r>
              <w:rPr>
                <w:rFonts w:hint="eastAsia" w:ascii="仿宋" w:hAnsi="仿宋" w:eastAsia="仿宋"/>
                <w:bCs w:val="0"/>
                <w:spacing w:val="0"/>
                <w:sz w:val="28"/>
                <w:szCs w:val="28"/>
                <w:lang w:val="en-US" w:eastAsia="zh-CN"/>
              </w:rPr>
              <w:t>5</w:t>
            </w:r>
            <w:r>
              <w:rPr>
                <w:rFonts w:hint="eastAsia" w:ascii="仿宋" w:hAnsi="仿宋" w:eastAsia="仿宋"/>
                <w:bCs w:val="0"/>
                <w:spacing w:val="0"/>
                <w:sz w:val="28"/>
                <w:szCs w:val="28"/>
                <w:lang w:eastAsia="zh-CN"/>
              </w:rPr>
              <w:t>分；</w:t>
            </w:r>
          </w:p>
          <w:p w14:paraId="61902442">
            <w:pPr>
              <w:pStyle w:val="2"/>
              <w:numPr>
                <w:ilvl w:val="0"/>
                <w:numId w:val="2"/>
              </w:numPr>
              <w:ind w:firstLine="0"/>
              <w:rPr>
                <w:rFonts w:ascii="仿宋" w:hAnsi="仿宋" w:eastAsia="仿宋"/>
                <w:bCs w:val="0"/>
                <w:spacing w:val="0"/>
                <w:sz w:val="28"/>
                <w:szCs w:val="28"/>
                <w:lang w:eastAsia="zh-CN"/>
              </w:rPr>
            </w:pPr>
            <w:r>
              <w:rPr>
                <w:rFonts w:hint="eastAsia" w:ascii="仿宋" w:hAnsi="仿宋" w:eastAsia="仿宋"/>
                <w:bCs w:val="0"/>
                <w:spacing w:val="0"/>
                <w:sz w:val="28"/>
                <w:szCs w:val="28"/>
                <w:lang w:eastAsia="zh-CN"/>
              </w:rPr>
              <w:t>保修服务计划的初步安排不完整，或无法提供投标人上门保修服务，产品及其配件的退换货、维修方案有所缺漏，或配件（或部件或零部件）的供货不充足，或未配置专人提供售后服务，或售后服务的整体方案简单、无针对性，</w:t>
            </w:r>
            <w:r>
              <w:rPr>
                <w:rFonts w:ascii="仿宋" w:hAnsi="仿宋" w:eastAsia="仿宋"/>
                <w:bCs w:val="0"/>
                <w:spacing w:val="0"/>
                <w:sz w:val="28"/>
                <w:szCs w:val="28"/>
                <w:lang w:eastAsia="zh-CN"/>
              </w:rPr>
              <w:t>对日常维修和应急情况响应及时，到达时间</w:t>
            </w:r>
            <w:r>
              <w:rPr>
                <w:rFonts w:hint="eastAsia" w:ascii="仿宋" w:hAnsi="仿宋" w:eastAsia="仿宋"/>
                <w:bCs w:val="0"/>
                <w:spacing w:val="0"/>
                <w:sz w:val="28"/>
                <w:szCs w:val="28"/>
                <w:lang w:eastAsia="zh-CN"/>
              </w:rPr>
              <w:t>超过1</w:t>
            </w:r>
            <w:r>
              <w:rPr>
                <w:rFonts w:ascii="仿宋" w:hAnsi="仿宋" w:eastAsia="仿宋"/>
                <w:bCs w:val="0"/>
                <w:spacing w:val="0"/>
                <w:sz w:val="28"/>
                <w:szCs w:val="28"/>
                <w:lang w:eastAsia="zh-CN"/>
              </w:rPr>
              <w:t>0</w:t>
            </w:r>
            <w:r>
              <w:rPr>
                <w:rFonts w:hint="eastAsia" w:ascii="仿宋" w:hAnsi="仿宋" w:eastAsia="仿宋"/>
                <w:bCs w:val="0"/>
                <w:spacing w:val="0"/>
                <w:sz w:val="28"/>
                <w:szCs w:val="28"/>
                <w:lang w:eastAsia="zh-CN"/>
              </w:rPr>
              <w:t>小时的，得</w:t>
            </w:r>
            <w:r>
              <w:rPr>
                <w:rFonts w:ascii="仿宋" w:hAnsi="仿宋" w:eastAsia="仿宋"/>
                <w:bCs w:val="0"/>
                <w:spacing w:val="0"/>
                <w:sz w:val="28"/>
                <w:szCs w:val="28"/>
                <w:lang w:eastAsia="zh-CN"/>
              </w:rPr>
              <w:t>2</w:t>
            </w:r>
            <w:r>
              <w:rPr>
                <w:rFonts w:hint="eastAsia" w:ascii="仿宋" w:hAnsi="仿宋" w:eastAsia="仿宋"/>
                <w:bCs w:val="0"/>
                <w:spacing w:val="0"/>
                <w:sz w:val="28"/>
                <w:szCs w:val="28"/>
                <w:lang w:eastAsia="zh-CN"/>
              </w:rPr>
              <w:t>分</w:t>
            </w:r>
          </w:p>
          <w:p w14:paraId="520D5A90">
            <w:pPr>
              <w:pStyle w:val="2"/>
              <w:ind w:firstLine="0" w:firstLineChars="0"/>
              <w:rPr>
                <w:rFonts w:ascii="Calibri" w:hAnsi="Calibri" w:eastAsia="Calibri" w:cs="Times New Roman"/>
                <w:bCs/>
                <w:spacing w:val="10"/>
                <w:kern w:val="2"/>
                <w:sz w:val="28"/>
                <w:szCs w:val="28"/>
                <w:lang w:val="en-US" w:eastAsia="en-US" w:bidi="ar-SA"/>
              </w:rPr>
            </w:pPr>
            <w:r>
              <w:rPr>
                <w:rFonts w:hint="eastAsia" w:ascii="仿宋" w:hAnsi="仿宋" w:eastAsia="仿宋"/>
                <w:sz w:val="28"/>
                <w:szCs w:val="28"/>
              </w:rPr>
              <w:t>（</w:t>
            </w:r>
            <w:r>
              <w:rPr>
                <w:rFonts w:ascii="仿宋" w:hAnsi="仿宋" w:eastAsia="仿宋"/>
                <w:sz w:val="28"/>
                <w:szCs w:val="28"/>
              </w:rPr>
              <w:t>4</w:t>
            </w:r>
            <w:r>
              <w:rPr>
                <w:rFonts w:hint="eastAsia" w:ascii="仿宋" w:hAnsi="仿宋" w:eastAsia="仿宋"/>
                <w:sz w:val="28"/>
                <w:szCs w:val="28"/>
              </w:rPr>
              <w:t>）不提供的不得分。</w:t>
            </w:r>
          </w:p>
        </w:tc>
      </w:tr>
      <w:tr w14:paraId="53980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10F6A94E">
            <w:pPr>
              <w:jc w:val="center"/>
              <w:rPr>
                <w:sz w:val="28"/>
                <w:szCs w:val="28"/>
              </w:rPr>
            </w:pPr>
          </w:p>
        </w:tc>
        <w:tc>
          <w:tcPr>
            <w:tcW w:w="2376" w:type="dxa"/>
            <w:shd w:val="clear" w:color="auto" w:fill="auto"/>
            <w:vAlign w:val="top"/>
          </w:tcPr>
          <w:p w14:paraId="540B168F">
            <w:pPr>
              <w:ind w:firstLine="0" w:firstLineChars="0"/>
              <w:jc w:val="left"/>
              <w:rPr>
                <w:rFonts w:hint="eastAsia" w:ascii="仿宋" w:hAnsi="仿宋" w:eastAsia="仿宋" w:cs="Times New Roman"/>
                <w:kern w:val="2"/>
                <w:sz w:val="28"/>
                <w:szCs w:val="28"/>
                <w:lang w:val="en-US" w:eastAsia="zh-CN" w:bidi="ar-SA"/>
              </w:rPr>
            </w:pPr>
            <w:r>
              <w:rPr>
                <w:rFonts w:hint="eastAsia" w:ascii="仿宋" w:hAnsi="仿宋" w:eastAsia="仿宋"/>
                <w:sz w:val="28"/>
                <w:szCs w:val="28"/>
              </w:rPr>
              <w:t>培训</w:t>
            </w:r>
            <w:r>
              <w:rPr>
                <w:rFonts w:ascii="仿宋" w:hAnsi="仿宋" w:eastAsia="仿宋"/>
                <w:sz w:val="28"/>
                <w:szCs w:val="28"/>
              </w:rPr>
              <w:t>方案</w:t>
            </w:r>
            <w:r>
              <w:rPr>
                <w:rFonts w:hint="eastAsia" w:ascii="仿宋" w:hAnsi="仿宋" w:eastAsia="仿宋"/>
                <w:sz w:val="28"/>
                <w:szCs w:val="28"/>
              </w:rPr>
              <w:t>（</w:t>
            </w:r>
            <w:r>
              <w:rPr>
                <w:rFonts w:hint="eastAsia" w:ascii="仿宋" w:hAnsi="仿宋" w:eastAsia="仿宋"/>
                <w:sz w:val="28"/>
                <w:szCs w:val="28"/>
                <w:lang w:val="en-US" w:eastAsia="zh-CN"/>
              </w:rPr>
              <w:t>7</w:t>
            </w:r>
            <w:r>
              <w:rPr>
                <w:rFonts w:hint="eastAsia" w:ascii="仿宋" w:hAnsi="仿宋" w:eastAsia="仿宋"/>
                <w:sz w:val="28"/>
                <w:szCs w:val="28"/>
              </w:rPr>
              <w:t>.0分）</w:t>
            </w:r>
          </w:p>
        </w:tc>
        <w:tc>
          <w:tcPr>
            <w:tcW w:w="5870" w:type="dxa"/>
            <w:shd w:val="clear" w:color="auto" w:fill="auto"/>
            <w:vAlign w:val="top"/>
          </w:tcPr>
          <w:p w14:paraId="09076FEC">
            <w:pPr>
              <w:pStyle w:val="30"/>
              <w:rPr>
                <w:rFonts w:hint="default" w:ascii="仿宋" w:hAnsi="仿宋" w:eastAsia="仿宋" w:cs="仿宋"/>
                <w:sz w:val="28"/>
                <w:szCs w:val="28"/>
              </w:rPr>
            </w:pPr>
            <w:r>
              <w:rPr>
                <w:rFonts w:ascii="仿宋" w:hAnsi="仿宋" w:eastAsia="仿宋" w:cs="仿宋"/>
                <w:sz w:val="28"/>
                <w:szCs w:val="28"/>
              </w:rPr>
              <w:t>根据投标人针对本项目提供的培训方案进行评审（包括但不限于：①培训目标制定与落实措施、②</w:t>
            </w:r>
            <w:r>
              <w:rPr>
                <w:rFonts w:ascii="仿宋" w:hAnsi="仿宋" w:eastAsia="仿宋" w:cs="仿宋"/>
                <w:sz w:val="28"/>
                <w:szCs w:val="28"/>
                <w:lang w:eastAsia="zh-CN"/>
              </w:rPr>
              <w:t>培训人员安排</w:t>
            </w:r>
            <w:r>
              <w:rPr>
                <w:rFonts w:ascii="仿宋" w:hAnsi="仿宋" w:eastAsia="仿宋" w:cs="仿宋"/>
                <w:sz w:val="28"/>
                <w:szCs w:val="28"/>
              </w:rPr>
              <w:t>、③结合本项目培训内容与计划制定及完善措施等）：</w:t>
            </w:r>
          </w:p>
          <w:p w14:paraId="438FAE00">
            <w:pPr>
              <w:pStyle w:val="30"/>
              <w:numPr>
                <w:ilvl w:val="255"/>
                <w:numId w:val="0"/>
              </w:numPr>
              <w:rPr>
                <w:rFonts w:hint="default" w:ascii="仿宋" w:hAnsi="仿宋" w:eastAsia="仿宋" w:cs="仿宋"/>
                <w:sz w:val="28"/>
                <w:szCs w:val="28"/>
              </w:rPr>
            </w:pPr>
            <w:r>
              <w:rPr>
                <w:rFonts w:ascii="仿宋" w:hAnsi="仿宋" w:eastAsia="仿宋" w:cs="仿宋"/>
                <w:sz w:val="28"/>
                <w:szCs w:val="28"/>
                <w:lang w:eastAsia="zh-CN"/>
              </w:rPr>
              <w:t>1、</w:t>
            </w:r>
            <w:r>
              <w:rPr>
                <w:rFonts w:ascii="仿宋" w:hAnsi="仿宋" w:eastAsia="仿宋" w:cs="仿宋"/>
                <w:sz w:val="28"/>
                <w:szCs w:val="28"/>
              </w:rPr>
              <w:t>投标人提供的</w:t>
            </w:r>
            <w:r>
              <w:rPr>
                <w:rFonts w:ascii="仿宋" w:hAnsi="仿宋" w:eastAsia="仿宋" w:cs="仿宋"/>
                <w:sz w:val="28"/>
                <w:szCs w:val="28"/>
                <w:lang w:eastAsia="zh-CN"/>
              </w:rPr>
              <w:t>培训</w:t>
            </w:r>
            <w:r>
              <w:rPr>
                <w:rFonts w:ascii="仿宋" w:hAnsi="仿宋" w:eastAsia="仿宋" w:cs="仿宋"/>
                <w:sz w:val="28"/>
                <w:szCs w:val="28"/>
              </w:rPr>
              <w:t>方案，涵盖上述所有内容且方案详细完整</w:t>
            </w:r>
            <w:r>
              <w:rPr>
                <w:rFonts w:ascii="仿宋" w:hAnsi="仿宋" w:eastAsia="仿宋" w:cs="仿宋"/>
                <w:sz w:val="28"/>
                <w:szCs w:val="28"/>
                <w:lang w:eastAsia="zh-CN"/>
              </w:rPr>
              <w:t>，</w:t>
            </w:r>
            <w:r>
              <w:rPr>
                <w:rFonts w:ascii="仿宋" w:hAnsi="仿宋" w:eastAsia="仿宋" w:cs="仿宋"/>
                <w:sz w:val="28"/>
                <w:szCs w:val="28"/>
              </w:rPr>
              <w:t>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sz w:val="28"/>
                <w:szCs w:val="28"/>
                <w:lang w:val="en-US" w:eastAsia="zh-CN"/>
              </w:rPr>
              <w:t>7</w:t>
            </w:r>
            <w:r>
              <w:rPr>
                <w:rFonts w:ascii="仿宋" w:hAnsi="仿宋" w:eastAsia="仿宋" w:cs="仿宋"/>
                <w:sz w:val="28"/>
                <w:szCs w:val="28"/>
              </w:rPr>
              <w:t>分；</w:t>
            </w:r>
          </w:p>
          <w:p w14:paraId="3445452F">
            <w:pPr>
              <w:pStyle w:val="30"/>
              <w:numPr>
                <w:ilvl w:val="255"/>
                <w:numId w:val="0"/>
              </w:numPr>
              <w:rPr>
                <w:rFonts w:hint="default" w:ascii="仿宋" w:hAnsi="仿宋" w:eastAsia="仿宋" w:cs="仿宋"/>
                <w:sz w:val="28"/>
                <w:szCs w:val="28"/>
              </w:rPr>
            </w:pPr>
            <w:r>
              <w:rPr>
                <w:rFonts w:ascii="仿宋" w:hAnsi="仿宋" w:eastAsia="仿宋" w:cs="仿宋"/>
                <w:sz w:val="28"/>
                <w:szCs w:val="28"/>
                <w:lang w:eastAsia="zh-CN"/>
              </w:rPr>
              <w:t>2、</w:t>
            </w:r>
            <w:r>
              <w:rPr>
                <w:rFonts w:ascii="仿宋" w:hAnsi="仿宋" w:eastAsia="仿宋" w:cs="仿宋"/>
                <w:sz w:val="28"/>
                <w:szCs w:val="28"/>
              </w:rPr>
              <w:t>投标人提供的</w:t>
            </w:r>
            <w:r>
              <w:rPr>
                <w:rFonts w:ascii="仿宋" w:hAnsi="仿宋" w:eastAsia="仿宋" w:cs="仿宋"/>
                <w:sz w:val="28"/>
                <w:szCs w:val="28"/>
                <w:lang w:eastAsia="zh-CN"/>
              </w:rPr>
              <w:t>培训</w:t>
            </w:r>
            <w:r>
              <w:rPr>
                <w:rFonts w:ascii="仿宋" w:hAnsi="仿宋" w:eastAsia="仿宋" w:cs="仿宋"/>
                <w:sz w:val="28"/>
                <w:szCs w:val="28"/>
              </w:rPr>
              <w:t>方案，涵盖上述所有内容，方案完整但不具体</w:t>
            </w:r>
            <w:r>
              <w:rPr>
                <w:rFonts w:ascii="仿宋" w:hAnsi="仿宋" w:eastAsia="仿宋" w:cs="仿宋"/>
                <w:sz w:val="28"/>
                <w:szCs w:val="28"/>
                <w:lang w:eastAsia="zh-CN"/>
              </w:rPr>
              <w:t>，</w:t>
            </w:r>
            <w:r>
              <w:rPr>
                <w:rFonts w:ascii="仿宋" w:hAnsi="仿宋" w:eastAsia="仿宋" w:cs="仿宋"/>
                <w:sz w:val="28"/>
                <w:szCs w:val="28"/>
              </w:rPr>
              <w:t>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sz w:val="28"/>
                <w:szCs w:val="28"/>
                <w:lang w:val="en-US" w:eastAsia="zh-CN"/>
              </w:rPr>
              <w:t>3</w:t>
            </w:r>
            <w:r>
              <w:rPr>
                <w:rFonts w:ascii="仿宋" w:hAnsi="仿宋" w:eastAsia="仿宋" w:cs="仿宋"/>
                <w:sz w:val="28"/>
                <w:szCs w:val="28"/>
              </w:rPr>
              <w:t>分；</w:t>
            </w:r>
          </w:p>
          <w:p w14:paraId="0EEE1396">
            <w:pPr>
              <w:pStyle w:val="30"/>
              <w:rPr>
                <w:rFonts w:hint="default" w:ascii="仿宋" w:hAnsi="仿宋" w:eastAsia="仿宋" w:cs="仿宋"/>
                <w:sz w:val="28"/>
                <w:szCs w:val="28"/>
              </w:rPr>
            </w:pPr>
            <w:r>
              <w:rPr>
                <w:rFonts w:ascii="仿宋" w:hAnsi="仿宋" w:eastAsia="仿宋" w:cs="仿宋"/>
                <w:sz w:val="28"/>
                <w:szCs w:val="28"/>
                <w:lang w:eastAsia="zh-CN"/>
              </w:rPr>
              <w:t>3、</w:t>
            </w:r>
            <w:r>
              <w:rPr>
                <w:rFonts w:ascii="仿宋" w:hAnsi="仿宋" w:eastAsia="仿宋" w:cs="仿宋"/>
                <w:sz w:val="28"/>
                <w:szCs w:val="28"/>
              </w:rPr>
              <w:t>投标人提供的</w:t>
            </w:r>
            <w:r>
              <w:rPr>
                <w:rFonts w:ascii="仿宋" w:hAnsi="仿宋" w:eastAsia="仿宋" w:cs="仿宋"/>
                <w:sz w:val="28"/>
                <w:szCs w:val="28"/>
                <w:lang w:eastAsia="zh-CN"/>
              </w:rPr>
              <w:t>培训</w:t>
            </w:r>
            <w:r>
              <w:rPr>
                <w:rFonts w:ascii="仿宋" w:hAnsi="仿宋" w:eastAsia="仿宋" w:cs="仿宋"/>
                <w:sz w:val="28"/>
                <w:szCs w:val="28"/>
              </w:rPr>
              <w:t>方案，涵盖上述所有内容且售后服务方案不完整</w:t>
            </w:r>
            <w:r>
              <w:rPr>
                <w:rFonts w:ascii="仿宋" w:hAnsi="仿宋" w:eastAsia="仿宋" w:cs="仿宋"/>
                <w:sz w:val="28"/>
                <w:szCs w:val="28"/>
                <w:lang w:eastAsia="zh-CN"/>
              </w:rPr>
              <w:t>，未</w:t>
            </w:r>
            <w:r>
              <w:rPr>
                <w:rFonts w:ascii="仿宋" w:hAnsi="仿宋" w:eastAsia="仿宋" w:cs="仿宋"/>
                <w:sz w:val="28"/>
                <w:szCs w:val="28"/>
              </w:rPr>
              <w:t>提供</w:t>
            </w:r>
            <w:r>
              <w:rPr>
                <w:rFonts w:ascii="仿宋" w:hAnsi="仿宋" w:eastAsia="仿宋" w:cs="仿宋"/>
                <w:sz w:val="28"/>
                <w:szCs w:val="28"/>
                <w:lang w:eastAsia="zh-CN"/>
              </w:rPr>
              <w:t>专人</w:t>
            </w:r>
            <w:r>
              <w:rPr>
                <w:rFonts w:ascii="仿宋" w:hAnsi="仿宋" w:eastAsia="仿宋" w:cs="仿宋"/>
                <w:sz w:val="28"/>
                <w:szCs w:val="28"/>
              </w:rPr>
              <w:t>指导</w:t>
            </w:r>
            <w:r>
              <w:rPr>
                <w:rFonts w:ascii="仿宋" w:hAnsi="仿宋" w:eastAsia="仿宋" w:cs="仿宋"/>
                <w:sz w:val="28"/>
                <w:szCs w:val="28"/>
                <w:lang w:eastAsia="zh-CN"/>
              </w:rPr>
              <w:t>、</w:t>
            </w:r>
            <w:r>
              <w:rPr>
                <w:rFonts w:ascii="仿宋" w:hAnsi="仿宋" w:eastAsia="仿宋" w:cs="仿宋"/>
                <w:sz w:val="28"/>
                <w:szCs w:val="28"/>
              </w:rPr>
              <w:t>培训课程安排简单含糊，课程及培训内容安排不明确，对操作培训含糊其辞，得</w:t>
            </w:r>
            <w:r>
              <w:rPr>
                <w:rFonts w:hint="eastAsia" w:ascii="仿宋" w:hAnsi="仿宋" w:eastAsia="仿宋" w:cs="仿宋"/>
                <w:sz w:val="28"/>
                <w:szCs w:val="28"/>
                <w:lang w:val="en-US" w:eastAsia="zh-CN"/>
              </w:rPr>
              <w:t>1</w:t>
            </w:r>
            <w:r>
              <w:rPr>
                <w:rFonts w:ascii="仿宋" w:hAnsi="仿宋" w:eastAsia="仿宋" w:cs="仿宋"/>
                <w:sz w:val="28"/>
                <w:szCs w:val="28"/>
              </w:rPr>
              <w:t xml:space="preserve">分； </w:t>
            </w:r>
          </w:p>
          <w:p w14:paraId="52B78C35">
            <w:pPr>
              <w:ind w:firstLine="0" w:firstLineChars="0"/>
              <w:jc w:val="left"/>
              <w:rPr>
                <w:rFonts w:hint="eastAsia" w:ascii="仿宋" w:hAnsi="仿宋" w:eastAsia="仿宋" w:cs="Times New Roman"/>
                <w:kern w:val="2"/>
                <w:sz w:val="28"/>
                <w:szCs w:val="28"/>
                <w:lang w:val="en-US" w:eastAsia="zh-CN" w:bidi="ar-SA"/>
              </w:rPr>
            </w:pPr>
            <w:r>
              <w:rPr>
                <w:rFonts w:ascii="仿宋" w:hAnsi="仿宋" w:eastAsia="仿宋" w:cs="仿宋"/>
                <w:sz w:val="28"/>
                <w:szCs w:val="28"/>
              </w:rPr>
              <w:t>4、没有涵盖上述所有内容或没有提供方案不得分。</w:t>
            </w:r>
          </w:p>
        </w:tc>
      </w:tr>
      <w:tr w14:paraId="77479C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2A56E5ED">
            <w:pPr>
              <w:rPr>
                <w:sz w:val="28"/>
                <w:szCs w:val="28"/>
              </w:rPr>
            </w:pPr>
          </w:p>
          <w:p w14:paraId="7E86448F">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eastAsia="仿宋_GB2312" w:cs="Times New Roman"/>
                <w:kern w:val="2"/>
                <w:sz w:val="32"/>
                <w:szCs w:val="22"/>
                <w:lang w:val="en-US" w:eastAsia="zh-CN" w:bidi="ar-SA"/>
              </w:rPr>
            </w:pPr>
            <w:r>
              <w:rPr>
                <w:rFonts w:hint="eastAsia"/>
                <w:sz w:val="28"/>
                <w:szCs w:val="28"/>
              </w:rPr>
              <w:t>商务部分</w:t>
            </w:r>
          </w:p>
        </w:tc>
        <w:tc>
          <w:tcPr>
            <w:tcW w:w="2376" w:type="dxa"/>
          </w:tcPr>
          <w:p w14:paraId="7411FCEB">
            <w:pPr>
              <w:ind w:firstLine="0"/>
              <w:jc w:val="left"/>
              <w:rPr>
                <w:sz w:val="28"/>
                <w:szCs w:val="28"/>
              </w:rPr>
            </w:pPr>
            <w:r>
              <w:rPr>
                <w:sz w:val="28"/>
                <w:szCs w:val="28"/>
              </w:rPr>
              <w:t>同类项目服务经验情况 (</w:t>
            </w:r>
            <w:r>
              <w:rPr>
                <w:rFonts w:hint="eastAsia"/>
                <w:sz w:val="28"/>
                <w:szCs w:val="28"/>
                <w:lang w:val="en-US" w:eastAsia="zh-CN"/>
              </w:rPr>
              <w:t>8</w:t>
            </w:r>
            <w:r>
              <w:rPr>
                <w:sz w:val="28"/>
                <w:szCs w:val="28"/>
              </w:rPr>
              <w:t>分)</w:t>
            </w:r>
          </w:p>
        </w:tc>
        <w:tc>
          <w:tcPr>
            <w:tcW w:w="5870" w:type="dxa"/>
            <w:shd w:val="clear" w:color="auto" w:fill="auto"/>
          </w:tcPr>
          <w:p w14:paraId="755E8958">
            <w:pPr>
              <w:ind w:firstLine="0"/>
              <w:rPr>
                <w:sz w:val="28"/>
                <w:szCs w:val="28"/>
              </w:rPr>
            </w:pPr>
            <w:r>
              <w:rPr>
                <w:rFonts w:hint="eastAsia"/>
                <w:sz w:val="28"/>
                <w:szCs w:val="28"/>
              </w:rPr>
              <w:t>投标人</w:t>
            </w:r>
            <w:r>
              <w:rPr>
                <w:sz w:val="28"/>
                <w:szCs w:val="28"/>
              </w:rPr>
              <w:t>自202</w:t>
            </w:r>
            <w:r>
              <w:rPr>
                <w:rFonts w:hint="eastAsia"/>
                <w:sz w:val="28"/>
                <w:szCs w:val="28"/>
              </w:rPr>
              <w:t>4</w:t>
            </w:r>
            <w:r>
              <w:rPr>
                <w:sz w:val="28"/>
                <w:szCs w:val="28"/>
              </w:rPr>
              <w:t>年1月1日至递交</w:t>
            </w:r>
            <w:r>
              <w:rPr>
                <w:rFonts w:hint="eastAsia"/>
                <w:sz w:val="28"/>
                <w:szCs w:val="28"/>
              </w:rPr>
              <w:t>投标</w:t>
            </w:r>
            <w:r>
              <w:rPr>
                <w:sz w:val="28"/>
                <w:szCs w:val="28"/>
              </w:rPr>
              <w:t>文件截止时间止（以合同签订时间为准），承接过</w:t>
            </w:r>
            <w:r>
              <w:rPr>
                <w:rFonts w:hint="eastAsia"/>
                <w:sz w:val="28"/>
                <w:szCs w:val="28"/>
              </w:rPr>
              <w:t>同类</w:t>
            </w:r>
            <w:r>
              <w:rPr>
                <w:sz w:val="28"/>
                <w:szCs w:val="28"/>
              </w:rPr>
              <w:t>项目</w:t>
            </w:r>
            <w:r>
              <w:rPr>
                <w:rFonts w:hint="eastAsia"/>
                <w:sz w:val="28"/>
                <w:szCs w:val="28"/>
              </w:rPr>
              <w:t>业绩</w:t>
            </w:r>
            <w:r>
              <w:rPr>
                <w:sz w:val="28"/>
                <w:szCs w:val="28"/>
              </w:rPr>
              <w:t>，每提供1个业绩，得</w:t>
            </w:r>
            <w:r>
              <w:rPr>
                <w:rFonts w:hint="eastAsia"/>
                <w:sz w:val="28"/>
                <w:szCs w:val="28"/>
              </w:rPr>
              <w:t>2</w:t>
            </w:r>
            <w:r>
              <w:rPr>
                <w:sz w:val="28"/>
                <w:szCs w:val="28"/>
              </w:rPr>
              <w:t>分，最高得</w:t>
            </w:r>
            <w:r>
              <w:rPr>
                <w:rFonts w:hint="eastAsia"/>
                <w:sz w:val="28"/>
                <w:szCs w:val="28"/>
                <w:lang w:val="en-US" w:eastAsia="zh-CN"/>
              </w:rPr>
              <w:t>8</w:t>
            </w:r>
            <w:r>
              <w:rPr>
                <w:sz w:val="28"/>
                <w:szCs w:val="28"/>
              </w:rPr>
              <w:t>分 。</w:t>
            </w:r>
          </w:p>
          <w:p w14:paraId="08BFC5C4">
            <w:pPr>
              <w:ind w:firstLine="0"/>
              <w:rPr>
                <w:sz w:val="28"/>
                <w:szCs w:val="28"/>
              </w:rPr>
            </w:pPr>
            <w:r>
              <w:rPr>
                <w:sz w:val="28"/>
                <w:szCs w:val="28"/>
              </w:rPr>
              <w:t>【注：1.以签订合同的时间为准（分支机构的，总公司（总所）业绩可纳入评审）；2.须提供业绩合同关键页（须体现项目名称、合同</w:t>
            </w:r>
            <w:r>
              <w:rPr>
                <w:rFonts w:hint="eastAsia"/>
                <w:sz w:val="28"/>
                <w:szCs w:val="28"/>
              </w:rPr>
              <w:t>标的</w:t>
            </w:r>
            <w:r>
              <w:rPr>
                <w:sz w:val="28"/>
                <w:szCs w:val="28"/>
              </w:rPr>
              <w:t>、</w:t>
            </w:r>
            <w:r>
              <w:rPr>
                <w:rFonts w:hint="eastAsia"/>
                <w:sz w:val="28"/>
                <w:szCs w:val="28"/>
              </w:rPr>
              <w:t>签订合同双方的落款盖章及签订日期</w:t>
            </w:r>
            <w:r>
              <w:rPr>
                <w:sz w:val="28"/>
                <w:szCs w:val="28"/>
              </w:rPr>
              <w:t>）有效证明材料</w:t>
            </w:r>
            <w:r>
              <w:rPr>
                <w:rFonts w:hint="eastAsia"/>
                <w:sz w:val="28"/>
                <w:szCs w:val="28"/>
                <w:lang w:val="en-US" w:eastAsia="zh-CN"/>
              </w:rPr>
              <w:t>及对应发票</w:t>
            </w:r>
            <w:r>
              <w:rPr>
                <w:sz w:val="28"/>
                <w:szCs w:val="28"/>
              </w:rPr>
              <w:t>复印件并加盖公章。 3.同一客户不累计得分。</w:t>
            </w:r>
            <w:r>
              <w:rPr>
                <w:rFonts w:hint="eastAsia"/>
                <w:sz w:val="28"/>
                <w:szCs w:val="28"/>
              </w:rPr>
              <w:t>4</w:t>
            </w:r>
            <w:r>
              <w:rPr>
                <w:sz w:val="28"/>
                <w:szCs w:val="28"/>
              </w:rPr>
              <w:t>.</w:t>
            </w:r>
            <w:r>
              <w:rPr>
                <w:rFonts w:hint="eastAsia"/>
                <w:sz w:val="28"/>
                <w:szCs w:val="28"/>
              </w:rPr>
              <w:t>合同标的须包含与采购标的同类型（不限制同品牌同型号）的设备，否则不计入同类业绩。</w:t>
            </w:r>
            <w:r>
              <w:rPr>
                <w:sz w:val="28"/>
                <w:szCs w:val="28"/>
              </w:rPr>
              <w:t>】</w:t>
            </w:r>
          </w:p>
        </w:tc>
      </w:tr>
      <w:tr w14:paraId="29944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14:paraId="7AEB6C3B">
            <w:pPr>
              <w:ind w:firstLine="0"/>
              <w:rPr>
                <w:sz w:val="28"/>
                <w:szCs w:val="28"/>
              </w:rPr>
            </w:pPr>
            <w:r>
              <w:rPr>
                <w:rFonts w:hint="eastAsia"/>
                <w:sz w:val="28"/>
                <w:szCs w:val="28"/>
              </w:rPr>
              <w:t>投标</w:t>
            </w:r>
            <w:r>
              <w:rPr>
                <w:sz w:val="28"/>
                <w:szCs w:val="28"/>
              </w:rPr>
              <w:t>报价</w:t>
            </w:r>
          </w:p>
        </w:tc>
        <w:tc>
          <w:tcPr>
            <w:tcW w:w="2376" w:type="dxa"/>
          </w:tcPr>
          <w:p w14:paraId="724E44AE">
            <w:pPr>
              <w:ind w:firstLine="0"/>
              <w:jc w:val="left"/>
              <w:rPr>
                <w:sz w:val="28"/>
                <w:szCs w:val="28"/>
              </w:rPr>
            </w:pPr>
            <w:r>
              <w:rPr>
                <w:sz w:val="28"/>
                <w:szCs w:val="28"/>
              </w:rPr>
              <w:t>投标报价得分 (</w:t>
            </w:r>
            <w:r>
              <w:rPr>
                <w:rFonts w:hint="eastAsia"/>
                <w:sz w:val="28"/>
                <w:szCs w:val="28"/>
              </w:rPr>
              <w:t>3</w:t>
            </w:r>
            <w:r>
              <w:rPr>
                <w:sz w:val="28"/>
                <w:szCs w:val="28"/>
              </w:rPr>
              <w:t>0分)</w:t>
            </w:r>
          </w:p>
          <w:p w14:paraId="1DE54571">
            <w:pPr>
              <w:pStyle w:val="2"/>
            </w:pPr>
          </w:p>
        </w:tc>
        <w:tc>
          <w:tcPr>
            <w:tcW w:w="5870" w:type="dxa"/>
          </w:tcPr>
          <w:p w14:paraId="7EB36760">
            <w:r>
              <w:rPr>
                <w:rFonts w:hint="eastAsia" w:ascii="仿宋" w:hAnsi="仿宋" w:eastAsia="仿宋" w:cstheme="minorBidi"/>
                <w:sz w:val="28"/>
                <w:szCs w:val="28"/>
              </w:rPr>
              <w:t>投标报价得分(30.0分)：投标报价得分＝（基准价/</w:t>
            </w:r>
            <w:r>
              <w:rPr>
                <w:rFonts w:hint="eastAsia" w:ascii="仿宋" w:hAnsi="仿宋" w:eastAsia="仿宋" w:cstheme="minorBidi"/>
                <w:sz w:val="28"/>
                <w:szCs w:val="28"/>
                <w:lang w:val="en-US" w:eastAsia="zh-CN"/>
              </w:rPr>
              <w:t>投标</w:t>
            </w:r>
            <w:r>
              <w:rPr>
                <w:rFonts w:hint="eastAsia" w:ascii="仿宋" w:hAnsi="仿宋" w:eastAsia="仿宋" w:cstheme="minorBidi"/>
                <w:sz w:val="28"/>
                <w:szCs w:val="28"/>
              </w:rPr>
              <w:t>报价）×价格分值【注：满足采购文件要求且投标价格最低的投标报价为评标基准价。】最低报价不是中标的唯一依据。</w:t>
            </w:r>
          </w:p>
        </w:tc>
      </w:tr>
    </w:tbl>
    <w:p w14:paraId="0BF4BB20">
      <w:pPr>
        <w:autoSpaceDE w:val="0"/>
        <w:autoSpaceDN w:val="0"/>
        <w:adjustRightInd w:val="0"/>
        <w:snapToGrid w:val="0"/>
        <w:spacing w:line="240" w:lineRule="auto"/>
        <w:ind w:firstLine="0"/>
        <w:rPr>
          <w:rFonts w:ascii="仿宋" w:hAnsi="仿宋" w:eastAsia="仿宋" w:cs="Helvetica Neue"/>
          <w:i/>
          <w:iCs/>
          <w:kern w:val="0"/>
          <w:sz w:val="28"/>
          <w:szCs w:val="28"/>
        </w:rPr>
      </w:pPr>
      <w:bookmarkStart w:id="1" w:name="_GoBack"/>
      <w:bookmarkEnd w:id="1"/>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8"/>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8"/>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abstractNum w:abstractNumId="1">
    <w:nsid w:val="5D53F2D8"/>
    <w:multiLevelType w:val="singleLevel"/>
    <w:tmpl w:val="5D53F2D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CFC3E1B"/>
    <w:rsid w:val="1D2D5615"/>
    <w:rsid w:val="1D7946FD"/>
    <w:rsid w:val="1DE74786"/>
    <w:rsid w:val="1DEA7E9E"/>
    <w:rsid w:val="1DEE4026"/>
    <w:rsid w:val="1E210611"/>
    <w:rsid w:val="1E361C38"/>
    <w:rsid w:val="1EA27958"/>
    <w:rsid w:val="1EAA2CB1"/>
    <w:rsid w:val="1ECF4EF5"/>
    <w:rsid w:val="1ED649B9"/>
    <w:rsid w:val="1F0C571A"/>
    <w:rsid w:val="1F1D16D5"/>
    <w:rsid w:val="1F2573EA"/>
    <w:rsid w:val="1F3446D9"/>
    <w:rsid w:val="1F4D284C"/>
    <w:rsid w:val="1F501AAA"/>
    <w:rsid w:val="1FAE25F1"/>
    <w:rsid w:val="1FB060A0"/>
    <w:rsid w:val="1FE2463C"/>
    <w:rsid w:val="20324395"/>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2235A1"/>
    <w:rsid w:val="25C14F7B"/>
    <w:rsid w:val="26013B1B"/>
    <w:rsid w:val="261920E3"/>
    <w:rsid w:val="261E1534"/>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2C77ED"/>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445A58"/>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3421E"/>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6810C4"/>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6092F"/>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4">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5">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napToGrid w:val="0"/>
      <w:spacing w:before="25" w:after="25"/>
    </w:pPr>
    <w:rPr>
      <w:rFonts w:ascii="Calibri" w:hAnsi="Calibri" w:eastAsia="Calibri"/>
      <w:bCs/>
      <w:spacing w:val="10"/>
      <w:sz w:val="24"/>
      <w:szCs w:val="20"/>
      <w:lang w:eastAsia="en-US"/>
    </w:rPr>
  </w:style>
  <w:style w:type="paragraph" w:styleId="6">
    <w:name w:val="annotation text"/>
    <w:basedOn w:val="1"/>
    <w:semiHidden/>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1">
    <w:name w:val="Normal (Web)"/>
    <w:basedOn w:val="1"/>
    <w:semiHidden/>
    <w:unhideWhenUsed/>
    <w:qFormat/>
    <w:uiPriority w:val="99"/>
    <w:pPr>
      <w:spacing w:line="240" w:lineRule="auto"/>
      <w:ind w:firstLine="0"/>
    </w:pPr>
    <w:rPr>
      <w:sz w:val="24"/>
      <w:szCs w:val="24"/>
    </w:rPr>
  </w:style>
  <w:style w:type="table" w:styleId="13">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locked/>
    <w:uiPriority w:val="0"/>
    <w:rPr>
      <w:b/>
    </w:rPr>
  </w:style>
  <w:style w:type="character" w:customStyle="1" w:styleId="16">
    <w:name w:val="标题 2 Char"/>
    <w:basedOn w:val="14"/>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4"/>
    <w:link w:val="5"/>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4"/>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4"/>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4"/>
    <w:link w:val="9"/>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批注框文本 Char"/>
    <w:basedOn w:val="14"/>
    <w:link w:val="7"/>
    <w:semiHidden/>
    <w:qFormat/>
    <w:uiPriority w:val="99"/>
    <w:rPr>
      <w:rFonts w:ascii="Times New Roman" w:hAnsi="Times New Roman" w:eastAsia="仿宋_GB2312"/>
      <w:sz w:val="18"/>
      <w:szCs w:val="18"/>
    </w:rPr>
  </w:style>
  <w:style w:type="character" w:customStyle="1" w:styleId="28">
    <w:name w:val="标题 3 Char"/>
    <w:basedOn w:val="14"/>
    <w:link w:val="4"/>
    <w:qFormat/>
    <w:uiPriority w:val="0"/>
    <w:rPr>
      <w:rFonts w:ascii="Times New Roman" w:hAnsi="Times New Roman" w:eastAsia="仿宋_GB2312" w:cs="Times New Roman"/>
      <w:b/>
      <w:bCs/>
      <w:kern w:val="2"/>
      <w:sz w:val="32"/>
      <w:szCs w:val="32"/>
    </w:rPr>
  </w:style>
  <w:style w:type="character" w:customStyle="1" w:styleId="29">
    <w:name w:val="副标题 Char"/>
    <w:basedOn w:val="14"/>
    <w:link w:val="10"/>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8</Pages>
  <Words>4870</Words>
  <Characters>5163</Characters>
  <Lines>40</Lines>
  <Paragraphs>11</Paragraphs>
  <TotalTime>0</TotalTime>
  <ScaleCrop>false</ScaleCrop>
  <LinksUpToDate>false</LinksUpToDate>
  <CharactersWithSpaces>5185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2026-09-02T09:08:13Z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