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DC5F5E">
      <w:pPr>
        <w:ind w:left="0" w:leftChars="0" w:firstLine="0" w:firstLineChars="0"/>
        <w:rPr>
          <w:rFonts w:hint="default"/>
          <w:b/>
          <w:bCs/>
          <w:color w:val="auto"/>
          <w:highlight w:val="none"/>
          <w:lang w:val="en-US" w:eastAsia="zh-CN"/>
        </w:rPr>
      </w:pPr>
      <w:r>
        <w:rPr>
          <w:rFonts w:hint="eastAsia"/>
          <w:b/>
          <w:bCs/>
          <w:color w:val="auto"/>
          <w:highlight w:val="none"/>
          <w:lang w:val="en-US" w:eastAsia="zh-CN"/>
        </w:rPr>
        <w:t>附件</w:t>
      </w:r>
      <w:r>
        <w:rPr>
          <w:rFonts w:hint="eastAsia" w:ascii="仿宋_GB2312" w:hAnsi="仿宋_GB2312" w:cs="仿宋_GB2312"/>
          <w:b/>
          <w:bCs/>
          <w:color w:val="auto"/>
          <w:highlight w:val="none"/>
          <w:lang w:val="en-US" w:eastAsia="zh-CN"/>
        </w:rPr>
        <w:t>3</w:t>
      </w:r>
      <w:r>
        <w:rPr>
          <w:rFonts w:hint="eastAsia" w:ascii="仿宋_GB2312" w:hAnsi="仿宋_GB2312" w:eastAsia="仿宋_GB2312" w:cs="仿宋_GB2312"/>
          <w:b/>
          <w:bCs/>
          <w:color w:val="auto"/>
          <w:highlight w:val="none"/>
          <w:lang w:val="en-US" w:eastAsia="zh-CN"/>
        </w:rPr>
        <w:t>：</w:t>
      </w:r>
    </w:p>
    <w:p w14:paraId="431EDBB7">
      <w:pPr>
        <w:pStyle w:val="4"/>
        <w:ind w:firstLine="0"/>
        <w:jc w:val="center"/>
        <w:rPr>
          <w:rFonts w:ascii="方正小标宋简体" w:eastAsia="方正小标宋简体"/>
          <w:color w:val="000000"/>
          <w:sz w:val="44"/>
          <w:szCs w:val="44"/>
        </w:rPr>
      </w:pPr>
      <w:r>
        <w:rPr>
          <w:rFonts w:hint="eastAsia" w:ascii="仿宋_GB2312" w:hAnsi="仿宋_GB2312" w:cs="仿宋_GB2312"/>
          <w:b/>
          <w:bCs/>
          <w:color w:val="auto"/>
          <w:sz w:val="32"/>
          <w:szCs w:val="32"/>
          <w:lang w:val="en-US" w:eastAsia="zh-CN"/>
        </w:rPr>
        <w:t>无创呼吸机</w:t>
      </w:r>
      <w:r>
        <w:rPr>
          <w:rFonts w:hint="eastAsia"/>
          <w:color w:val="auto"/>
          <w:lang w:eastAsia="zh-CN"/>
        </w:rPr>
        <w:t>参数配置要求</w:t>
      </w:r>
    </w:p>
    <w:tbl>
      <w:tblPr>
        <w:tblStyle w:val="12"/>
        <w:tblpPr w:leftFromText="180" w:rightFromText="180" w:vertAnchor="text" w:horzAnchor="page" w:tblpX="1486" w:tblpY="360"/>
        <w:tblOverlap w:val="never"/>
        <w:tblW w:w="913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39"/>
        <w:gridCol w:w="750"/>
        <w:gridCol w:w="7149"/>
      </w:tblGrid>
      <w:tr w14:paraId="3D0511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2" w:hRule="atLeast"/>
        </w:trPr>
        <w:tc>
          <w:tcPr>
            <w:tcW w:w="1239" w:type="dxa"/>
            <w:vAlign w:val="center"/>
          </w:tcPr>
          <w:p w14:paraId="43F696A4">
            <w:pPr>
              <w:pStyle w:val="30"/>
              <w:spacing w:line="400" w:lineRule="exact"/>
              <w:jc w:val="center"/>
              <w:rPr>
                <w:rFonts w:hint="default" w:ascii="仿宋" w:hAnsi="仿宋" w:eastAsia="仿宋" w:cs="仿宋"/>
                <w:sz w:val="24"/>
                <w:szCs w:val="24"/>
              </w:rPr>
            </w:pPr>
            <w:r>
              <w:rPr>
                <w:rFonts w:ascii="仿宋" w:hAnsi="仿宋" w:eastAsia="仿宋" w:cs="仿宋"/>
                <w:sz w:val="24"/>
                <w:szCs w:val="24"/>
              </w:rPr>
              <w:t>参数性质</w:t>
            </w:r>
          </w:p>
        </w:tc>
        <w:tc>
          <w:tcPr>
            <w:tcW w:w="750" w:type="dxa"/>
            <w:vAlign w:val="center"/>
          </w:tcPr>
          <w:p w14:paraId="5A84B16E">
            <w:pPr>
              <w:pStyle w:val="30"/>
              <w:spacing w:line="400" w:lineRule="exact"/>
              <w:jc w:val="center"/>
              <w:rPr>
                <w:rFonts w:hint="default" w:ascii="仿宋" w:hAnsi="仿宋" w:eastAsia="仿宋" w:cs="仿宋"/>
                <w:sz w:val="24"/>
                <w:szCs w:val="24"/>
              </w:rPr>
            </w:pPr>
            <w:r>
              <w:rPr>
                <w:rFonts w:ascii="仿宋" w:hAnsi="仿宋" w:eastAsia="仿宋" w:cs="仿宋"/>
                <w:sz w:val="24"/>
                <w:szCs w:val="24"/>
              </w:rPr>
              <w:t>序号</w:t>
            </w:r>
          </w:p>
        </w:tc>
        <w:tc>
          <w:tcPr>
            <w:tcW w:w="7149" w:type="dxa"/>
          </w:tcPr>
          <w:p w14:paraId="352F58C4">
            <w:pPr>
              <w:pStyle w:val="30"/>
              <w:spacing w:line="400" w:lineRule="exact"/>
              <w:rPr>
                <w:rFonts w:hint="default" w:ascii="仿宋" w:hAnsi="仿宋" w:eastAsia="仿宋" w:cs="仿宋"/>
                <w:sz w:val="24"/>
                <w:szCs w:val="24"/>
              </w:rPr>
            </w:pPr>
            <w:r>
              <w:rPr>
                <w:rFonts w:ascii="仿宋" w:hAnsi="仿宋" w:eastAsia="仿宋" w:cs="仿宋"/>
                <w:sz w:val="24"/>
                <w:szCs w:val="24"/>
              </w:rPr>
              <w:t>具体技术(参数)要求</w:t>
            </w:r>
          </w:p>
        </w:tc>
      </w:tr>
      <w:tr w14:paraId="7CB441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48" w:hRule="atLeast"/>
        </w:trPr>
        <w:tc>
          <w:tcPr>
            <w:tcW w:w="1239" w:type="dxa"/>
            <w:vAlign w:val="center"/>
          </w:tcPr>
          <w:p w14:paraId="62948AAE">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 w:hAnsi="仿宋" w:eastAsia="仿宋" w:cs="仿宋"/>
                <w:sz w:val="24"/>
              </w:rPr>
              <w:t>★</w:t>
            </w:r>
          </w:p>
        </w:tc>
        <w:tc>
          <w:tcPr>
            <w:tcW w:w="750" w:type="dxa"/>
            <w:vAlign w:val="center"/>
          </w:tcPr>
          <w:p w14:paraId="43AD605D">
            <w:pPr>
              <w:pStyle w:val="30"/>
              <w:numPr>
                <w:ilvl w:val="0"/>
                <w:numId w:val="1"/>
              </w:numPr>
              <w:spacing w:line="400" w:lineRule="exact"/>
              <w:jc w:val="center"/>
              <w:rPr>
                <w:rFonts w:hint="default" w:ascii="仿宋" w:hAnsi="仿宋" w:eastAsia="仿宋" w:cs="仿宋"/>
                <w:sz w:val="24"/>
                <w:szCs w:val="24"/>
              </w:rPr>
            </w:pPr>
          </w:p>
        </w:tc>
        <w:tc>
          <w:tcPr>
            <w:tcW w:w="7149" w:type="dxa"/>
            <w:vAlign w:val="center"/>
          </w:tcPr>
          <w:p w14:paraId="50E2720C">
            <w:pPr>
              <w:pStyle w:val="30"/>
              <w:spacing w:line="400" w:lineRule="exact"/>
              <w:rPr>
                <w:rFonts w:hint="default" w:ascii="仿宋" w:hAnsi="仿宋" w:eastAsia="仿宋" w:cs="仿宋"/>
                <w:sz w:val="24"/>
                <w:szCs w:val="24"/>
                <w:lang w:eastAsia="zh-CN"/>
              </w:rPr>
            </w:pPr>
            <w:r>
              <w:rPr>
                <w:rFonts w:ascii="仿宋" w:hAnsi="仿宋" w:eastAsia="仿宋" w:cs="仿宋"/>
                <w:sz w:val="24"/>
                <w:szCs w:val="24"/>
                <w:lang w:eastAsia="zh-CN"/>
              </w:rPr>
              <w:t>一、总体要求：</w:t>
            </w:r>
          </w:p>
          <w:p w14:paraId="7330CEF9">
            <w:pPr>
              <w:pStyle w:val="30"/>
              <w:spacing w:line="400" w:lineRule="exact"/>
              <w:rPr>
                <w:rFonts w:hint="default" w:ascii="仿宋" w:hAnsi="仿宋" w:eastAsia="仿宋" w:cs="仿宋"/>
                <w:sz w:val="24"/>
                <w:szCs w:val="24"/>
                <w:lang w:eastAsia="zh-CN"/>
              </w:rPr>
            </w:pPr>
            <w:r>
              <w:rPr>
                <w:rFonts w:ascii="仿宋" w:hAnsi="仿宋" w:eastAsia="仿宋" w:cs="仿宋"/>
                <w:sz w:val="24"/>
                <w:szCs w:val="24"/>
                <w:lang w:eastAsia="zh-CN"/>
              </w:rPr>
              <w:t>1.所投的产品须具有中华人民共和国医疗器械注册证</w:t>
            </w:r>
            <w:r>
              <w:rPr>
                <w:rFonts w:hint="eastAsia" w:ascii="仿宋" w:hAnsi="仿宋" w:eastAsia="仿宋" w:cs="仿宋"/>
                <w:sz w:val="24"/>
                <w:szCs w:val="24"/>
                <w:lang w:eastAsia="zh-CN"/>
              </w:rPr>
              <w:t>。（</w:t>
            </w:r>
            <w:r>
              <w:rPr>
                <w:rFonts w:ascii="仿宋" w:hAnsi="仿宋" w:eastAsia="仿宋" w:cs="仿宋"/>
                <w:sz w:val="24"/>
                <w:szCs w:val="24"/>
                <w:lang w:eastAsia="zh-CN"/>
              </w:rPr>
              <w:t>提供医疗器械注册证复印件</w:t>
            </w:r>
            <w:r>
              <w:rPr>
                <w:rFonts w:hint="eastAsia" w:ascii="仿宋" w:hAnsi="仿宋" w:eastAsia="仿宋" w:cs="仿宋"/>
                <w:sz w:val="24"/>
                <w:szCs w:val="24"/>
                <w:lang w:eastAsia="zh-CN"/>
              </w:rPr>
              <w:t>）</w:t>
            </w:r>
          </w:p>
        </w:tc>
      </w:tr>
      <w:tr w14:paraId="69E109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48" w:hRule="atLeast"/>
        </w:trPr>
        <w:tc>
          <w:tcPr>
            <w:tcW w:w="1239" w:type="dxa"/>
            <w:vAlign w:val="center"/>
          </w:tcPr>
          <w:p w14:paraId="59F360E6">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 w:hAnsi="仿宋" w:eastAsia="仿宋" w:cs="仿宋"/>
                <w:sz w:val="24"/>
              </w:rPr>
              <w:t>★</w:t>
            </w:r>
          </w:p>
        </w:tc>
        <w:tc>
          <w:tcPr>
            <w:tcW w:w="750" w:type="dxa"/>
            <w:vAlign w:val="center"/>
          </w:tcPr>
          <w:p w14:paraId="2C5C7E6D">
            <w:pPr>
              <w:pStyle w:val="30"/>
              <w:numPr>
                <w:ilvl w:val="0"/>
                <w:numId w:val="1"/>
              </w:numPr>
              <w:spacing w:line="400" w:lineRule="exact"/>
              <w:jc w:val="center"/>
              <w:rPr>
                <w:rFonts w:hint="default" w:ascii="仿宋" w:hAnsi="仿宋" w:eastAsia="仿宋" w:cs="仿宋"/>
                <w:sz w:val="24"/>
                <w:szCs w:val="24"/>
              </w:rPr>
            </w:pPr>
          </w:p>
        </w:tc>
        <w:tc>
          <w:tcPr>
            <w:tcW w:w="7149" w:type="dxa"/>
            <w:vAlign w:val="center"/>
          </w:tcPr>
          <w:p w14:paraId="42F31EBA">
            <w:pPr>
              <w:pStyle w:val="30"/>
              <w:spacing w:line="400" w:lineRule="exact"/>
              <w:rPr>
                <w:rFonts w:hint="eastAsia" w:ascii="仿宋" w:hAnsi="仿宋" w:eastAsia="仿宋" w:cs="仿宋"/>
                <w:sz w:val="24"/>
                <w:szCs w:val="24"/>
                <w:lang w:val="en-US" w:eastAsia="zh-CN"/>
              </w:rPr>
            </w:pPr>
            <w:r>
              <w:rPr>
                <w:rFonts w:ascii="仿宋" w:hAnsi="仿宋" w:eastAsia="仿宋" w:cs="仿宋"/>
                <w:sz w:val="24"/>
                <w:szCs w:val="24"/>
                <w:lang w:eastAsia="zh-CN"/>
              </w:rPr>
              <w:t>2.适用范围：无创辅助呼吸，适用于慢阻肺、呼吸衰竭、睡眠呼吸暂停、术后呼吸支持等成人无创通气治疗</w:t>
            </w:r>
            <w:r>
              <w:rPr>
                <w:rFonts w:hint="eastAsia" w:ascii="仿宋" w:hAnsi="仿宋" w:eastAsia="仿宋" w:cs="仿宋"/>
                <w:sz w:val="24"/>
                <w:szCs w:val="24"/>
                <w:lang w:eastAsia="zh-CN"/>
              </w:rPr>
              <w:t>。</w:t>
            </w:r>
          </w:p>
        </w:tc>
      </w:tr>
      <w:tr w14:paraId="7D76E7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3" w:hRule="atLeast"/>
        </w:trPr>
        <w:tc>
          <w:tcPr>
            <w:tcW w:w="1239" w:type="dxa"/>
            <w:vAlign w:val="center"/>
          </w:tcPr>
          <w:p w14:paraId="2D7E9A08">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p>
        </w:tc>
        <w:tc>
          <w:tcPr>
            <w:tcW w:w="750" w:type="dxa"/>
            <w:vAlign w:val="center"/>
          </w:tcPr>
          <w:p w14:paraId="650E7EBF">
            <w:pPr>
              <w:pStyle w:val="30"/>
              <w:numPr>
                <w:ilvl w:val="0"/>
                <w:numId w:val="1"/>
              </w:numPr>
              <w:spacing w:line="400" w:lineRule="exact"/>
              <w:jc w:val="center"/>
              <w:rPr>
                <w:rFonts w:hint="default" w:ascii="仿宋" w:hAnsi="仿宋" w:eastAsia="仿宋" w:cs="仿宋"/>
                <w:sz w:val="24"/>
                <w:szCs w:val="24"/>
              </w:rPr>
            </w:pPr>
          </w:p>
        </w:tc>
        <w:tc>
          <w:tcPr>
            <w:tcW w:w="7149" w:type="dxa"/>
            <w:vAlign w:val="center"/>
          </w:tcPr>
          <w:p w14:paraId="45FFF890">
            <w:pPr>
              <w:pStyle w:val="30"/>
              <w:spacing w:line="400" w:lineRule="exact"/>
              <w:rPr>
                <w:rFonts w:hint="default" w:ascii="仿宋" w:hAnsi="仿宋" w:eastAsia="仿宋" w:cs="仿宋"/>
                <w:sz w:val="24"/>
                <w:szCs w:val="24"/>
                <w:lang w:eastAsia="zh-CN"/>
              </w:rPr>
            </w:pPr>
            <w:r>
              <w:rPr>
                <w:rFonts w:ascii="仿宋" w:hAnsi="仿宋" w:eastAsia="仿宋" w:cs="仿宋"/>
                <w:sz w:val="24"/>
                <w:szCs w:val="24"/>
                <w:lang w:eastAsia="zh-CN"/>
              </w:rPr>
              <w:t>3.设备主要功能</w:t>
            </w:r>
            <w:r>
              <w:rPr>
                <w:rFonts w:hint="default" w:ascii="仿宋" w:hAnsi="仿宋" w:eastAsia="仿宋" w:cs="仿宋"/>
                <w:sz w:val="24"/>
                <w:szCs w:val="24"/>
                <w:lang w:eastAsia="zh-CN"/>
              </w:rPr>
              <w:t>、</w:t>
            </w:r>
            <w:r>
              <w:rPr>
                <w:rFonts w:ascii="仿宋" w:hAnsi="仿宋" w:eastAsia="仿宋" w:cs="仿宋"/>
                <w:sz w:val="24"/>
                <w:szCs w:val="24"/>
                <w:lang w:eastAsia="zh-CN"/>
              </w:rPr>
              <w:t>用途：无创辅助通气，持续气道正压通气、双水平气道正压通气等无创呼吸支持，改善患者氧合、缓解呼吸肌疲劳，无需气管插管/切开实现呼吸辅助。</w:t>
            </w:r>
          </w:p>
        </w:tc>
      </w:tr>
      <w:tr w14:paraId="7A1034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95" w:hRule="atLeast"/>
        </w:trPr>
        <w:tc>
          <w:tcPr>
            <w:tcW w:w="1239" w:type="dxa"/>
            <w:vAlign w:val="center"/>
          </w:tcPr>
          <w:p w14:paraId="52ABD6A3">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 w:hAnsi="仿宋" w:eastAsia="仿宋" w:cs="仿宋"/>
                <w:sz w:val="24"/>
              </w:rPr>
              <w:t>★</w:t>
            </w:r>
          </w:p>
        </w:tc>
        <w:tc>
          <w:tcPr>
            <w:tcW w:w="750" w:type="dxa"/>
            <w:vAlign w:val="center"/>
          </w:tcPr>
          <w:p w14:paraId="43D7D91C">
            <w:pPr>
              <w:pStyle w:val="30"/>
              <w:numPr>
                <w:ilvl w:val="0"/>
                <w:numId w:val="1"/>
              </w:numPr>
              <w:spacing w:line="400" w:lineRule="exact"/>
              <w:jc w:val="center"/>
              <w:rPr>
                <w:rFonts w:hint="default" w:ascii="仿宋" w:hAnsi="仿宋" w:eastAsia="仿宋" w:cs="仿宋"/>
                <w:sz w:val="24"/>
                <w:szCs w:val="24"/>
              </w:rPr>
            </w:pPr>
          </w:p>
        </w:tc>
        <w:tc>
          <w:tcPr>
            <w:tcW w:w="7149" w:type="dxa"/>
            <w:vAlign w:val="center"/>
          </w:tcPr>
          <w:p w14:paraId="18AF6B10">
            <w:pPr>
              <w:pStyle w:val="30"/>
              <w:spacing w:line="400" w:lineRule="exact"/>
              <w:rPr>
                <w:rFonts w:hint="default" w:ascii="仿宋" w:hAnsi="仿宋" w:eastAsia="仿宋" w:cs="仿宋"/>
                <w:sz w:val="24"/>
                <w:szCs w:val="24"/>
                <w:lang w:eastAsia="zh-CN"/>
              </w:rPr>
            </w:pPr>
            <w:r>
              <w:rPr>
                <w:rFonts w:ascii="仿宋" w:hAnsi="仿宋" w:eastAsia="仿宋" w:cs="仿宋"/>
                <w:sz w:val="24"/>
                <w:szCs w:val="24"/>
                <w:lang w:eastAsia="zh-CN"/>
              </w:rPr>
              <w:t>4.保修期≥</w:t>
            </w:r>
            <w:r>
              <w:rPr>
                <w:rFonts w:hint="eastAsia" w:ascii="仿宋" w:hAnsi="仿宋" w:eastAsia="仿宋" w:cs="仿宋"/>
                <w:sz w:val="24"/>
                <w:szCs w:val="24"/>
                <w:lang w:val="en-US" w:eastAsia="zh-CN"/>
              </w:rPr>
              <w:t>2</w:t>
            </w:r>
            <w:r>
              <w:rPr>
                <w:rFonts w:ascii="仿宋" w:hAnsi="仿宋" w:eastAsia="仿宋" w:cs="仿宋"/>
                <w:sz w:val="24"/>
                <w:szCs w:val="24"/>
                <w:lang w:eastAsia="zh-CN"/>
              </w:rPr>
              <w:t>年（</w:t>
            </w:r>
            <w:r>
              <w:rPr>
                <w:rFonts w:hint="eastAsia" w:ascii="仿宋" w:hAnsi="仿宋" w:eastAsia="仿宋" w:cs="仿宋"/>
                <w:sz w:val="24"/>
                <w:szCs w:val="24"/>
                <w:lang w:val="en-US" w:eastAsia="zh-CN"/>
              </w:rPr>
              <w:t>包含</w:t>
            </w:r>
            <w:r>
              <w:rPr>
                <w:rFonts w:ascii="仿宋" w:hAnsi="仿宋" w:eastAsia="仿宋" w:cs="仿宋"/>
                <w:sz w:val="24"/>
                <w:szCs w:val="24"/>
                <w:lang w:eastAsia="zh-CN"/>
              </w:rPr>
              <w:t>呼吸机主机、电源、湿化器、管路、面罩、滤棉、传感器等一切附属配件），费用均包含在投标报价中。</w:t>
            </w:r>
          </w:p>
        </w:tc>
      </w:tr>
      <w:tr w14:paraId="531304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02" w:hRule="atLeast"/>
        </w:trPr>
        <w:tc>
          <w:tcPr>
            <w:tcW w:w="1239" w:type="dxa"/>
            <w:vAlign w:val="center"/>
          </w:tcPr>
          <w:p w14:paraId="5CC84152">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ascii="仿宋" w:hAnsi="仿宋" w:eastAsia="仿宋" w:cs="仿宋"/>
                <w:sz w:val="24"/>
              </w:rPr>
              <w:t>▲</w:t>
            </w:r>
          </w:p>
        </w:tc>
        <w:tc>
          <w:tcPr>
            <w:tcW w:w="750" w:type="dxa"/>
            <w:vAlign w:val="center"/>
          </w:tcPr>
          <w:p w14:paraId="599045C4">
            <w:pPr>
              <w:pStyle w:val="30"/>
              <w:numPr>
                <w:ilvl w:val="0"/>
                <w:numId w:val="1"/>
              </w:numPr>
              <w:spacing w:line="400" w:lineRule="exact"/>
              <w:jc w:val="center"/>
              <w:rPr>
                <w:rFonts w:hint="default" w:ascii="仿宋" w:hAnsi="仿宋" w:eastAsia="仿宋" w:cs="仿宋"/>
                <w:sz w:val="24"/>
                <w:szCs w:val="24"/>
              </w:rPr>
            </w:pPr>
          </w:p>
        </w:tc>
        <w:tc>
          <w:tcPr>
            <w:tcW w:w="7149" w:type="dxa"/>
            <w:vAlign w:val="center"/>
          </w:tcPr>
          <w:p w14:paraId="1E48631C">
            <w:pPr>
              <w:pStyle w:val="30"/>
              <w:spacing w:line="400" w:lineRule="exact"/>
              <w:rPr>
                <w:rFonts w:hint="default" w:ascii="仿宋" w:hAnsi="仿宋" w:eastAsia="仿宋" w:cs="仿宋"/>
                <w:sz w:val="24"/>
                <w:szCs w:val="24"/>
                <w:lang w:eastAsia="zh-CN"/>
              </w:rPr>
            </w:pPr>
            <w:r>
              <w:rPr>
                <w:rFonts w:ascii="仿宋" w:hAnsi="仿宋" w:eastAsia="仿宋" w:cs="仿宋"/>
                <w:sz w:val="24"/>
                <w:szCs w:val="24"/>
                <w:lang w:eastAsia="zh-CN"/>
              </w:rPr>
              <w:t>5.设备主机使用年限≥</w:t>
            </w:r>
            <w:r>
              <w:rPr>
                <w:rFonts w:hint="eastAsia" w:ascii="仿宋" w:hAnsi="仿宋" w:eastAsia="仿宋" w:cs="仿宋"/>
                <w:sz w:val="24"/>
                <w:szCs w:val="24"/>
                <w:lang w:val="en-US" w:eastAsia="zh-CN"/>
              </w:rPr>
              <w:t>5</w:t>
            </w:r>
            <w:r>
              <w:rPr>
                <w:rFonts w:ascii="仿宋" w:hAnsi="仿宋" w:eastAsia="仿宋" w:cs="仿宋"/>
                <w:sz w:val="24"/>
                <w:szCs w:val="24"/>
                <w:lang w:eastAsia="zh-CN"/>
              </w:rPr>
              <w:t>年，（提供同型号产品铭牌/标签或使用说明书等证明）</w:t>
            </w:r>
            <w:r>
              <w:rPr>
                <w:rFonts w:hint="eastAsia" w:ascii="仿宋" w:hAnsi="仿宋" w:eastAsia="仿宋" w:cs="仿宋"/>
                <w:sz w:val="24"/>
                <w:szCs w:val="24"/>
                <w:lang w:eastAsia="zh-CN"/>
              </w:rPr>
              <w:t>。</w:t>
            </w:r>
          </w:p>
        </w:tc>
      </w:tr>
      <w:tr w14:paraId="34A88C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8" w:hRule="atLeast"/>
        </w:trPr>
        <w:tc>
          <w:tcPr>
            <w:tcW w:w="1239" w:type="dxa"/>
            <w:vAlign w:val="center"/>
          </w:tcPr>
          <w:p w14:paraId="3E5CF8DD">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p>
        </w:tc>
        <w:tc>
          <w:tcPr>
            <w:tcW w:w="750" w:type="dxa"/>
            <w:vAlign w:val="center"/>
          </w:tcPr>
          <w:p w14:paraId="5B5DFD80">
            <w:pPr>
              <w:pStyle w:val="30"/>
              <w:numPr>
                <w:ilvl w:val="0"/>
                <w:numId w:val="1"/>
              </w:numPr>
              <w:spacing w:line="400" w:lineRule="exact"/>
              <w:jc w:val="center"/>
              <w:rPr>
                <w:rFonts w:hint="default" w:ascii="仿宋" w:hAnsi="仿宋" w:eastAsia="仿宋" w:cs="仿宋"/>
                <w:sz w:val="24"/>
                <w:szCs w:val="24"/>
              </w:rPr>
            </w:pPr>
          </w:p>
        </w:tc>
        <w:tc>
          <w:tcPr>
            <w:tcW w:w="7149" w:type="dxa"/>
            <w:vAlign w:val="center"/>
          </w:tcPr>
          <w:p w14:paraId="03F3809C">
            <w:pPr>
              <w:pStyle w:val="30"/>
              <w:spacing w:line="400" w:lineRule="exact"/>
              <w:rPr>
                <w:rFonts w:hint="default" w:ascii="仿宋" w:hAnsi="仿宋" w:eastAsia="仿宋" w:cs="仿宋"/>
                <w:sz w:val="24"/>
                <w:szCs w:val="24"/>
                <w:lang w:eastAsia="zh-CN"/>
              </w:rPr>
            </w:pPr>
            <w:r>
              <w:rPr>
                <w:rFonts w:ascii="仿宋" w:hAnsi="仿宋" w:eastAsia="仿宋" w:cs="仿宋"/>
                <w:sz w:val="24"/>
                <w:szCs w:val="24"/>
                <w:lang w:eastAsia="zh-CN"/>
              </w:rPr>
              <w:t>6.设备交货日期不得超过生产日期后6个月</w:t>
            </w:r>
            <w:r>
              <w:rPr>
                <w:rFonts w:hint="eastAsia" w:ascii="仿宋" w:hAnsi="仿宋" w:eastAsia="仿宋" w:cs="仿宋"/>
                <w:sz w:val="24"/>
                <w:szCs w:val="24"/>
                <w:lang w:eastAsia="zh-CN"/>
              </w:rPr>
              <w:t>。</w:t>
            </w:r>
          </w:p>
        </w:tc>
      </w:tr>
      <w:tr w14:paraId="3B0A41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6" w:hRule="atLeast"/>
        </w:trPr>
        <w:tc>
          <w:tcPr>
            <w:tcW w:w="1239" w:type="dxa"/>
            <w:vAlign w:val="center"/>
          </w:tcPr>
          <w:p w14:paraId="106203C1">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 w:hAnsi="仿宋" w:eastAsia="仿宋" w:cs="仿宋"/>
                <w:sz w:val="24"/>
              </w:rPr>
              <w:t>★</w:t>
            </w:r>
          </w:p>
        </w:tc>
        <w:tc>
          <w:tcPr>
            <w:tcW w:w="750" w:type="dxa"/>
            <w:vAlign w:val="center"/>
          </w:tcPr>
          <w:p w14:paraId="628465E3">
            <w:pPr>
              <w:pStyle w:val="30"/>
              <w:numPr>
                <w:ilvl w:val="0"/>
                <w:numId w:val="1"/>
              </w:numPr>
              <w:spacing w:line="400" w:lineRule="exact"/>
              <w:jc w:val="center"/>
              <w:rPr>
                <w:rFonts w:hint="default" w:ascii="仿宋" w:hAnsi="仿宋" w:eastAsia="仿宋" w:cs="仿宋"/>
                <w:sz w:val="24"/>
                <w:szCs w:val="24"/>
              </w:rPr>
            </w:pPr>
          </w:p>
        </w:tc>
        <w:tc>
          <w:tcPr>
            <w:tcW w:w="7149" w:type="dxa"/>
            <w:vAlign w:val="center"/>
          </w:tcPr>
          <w:p w14:paraId="3DE8E32B">
            <w:pPr>
              <w:pStyle w:val="30"/>
              <w:spacing w:line="400" w:lineRule="exact"/>
              <w:rPr>
                <w:rFonts w:hint="default" w:ascii="仿宋" w:hAnsi="仿宋" w:eastAsia="仿宋" w:cs="仿宋"/>
                <w:sz w:val="24"/>
                <w:szCs w:val="24"/>
                <w:lang w:eastAsia="zh-CN"/>
              </w:rPr>
            </w:pPr>
            <w:r>
              <w:rPr>
                <w:rFonts w:ascii="仿宋" w:hAnsi="仿宋" w:eastAsia="仿宋" w:cs="仿宋"/>
                <w:sz w:val="24"/>
                <w:szCs w:val="24"/>
                <w:lang w:eastAsia="zh-CN"/>
              </w:rPr>
              <w:t>7.所投设备为非召回、非停产设备。</w:t>
            </w:r>
          </w:p>
        </w:tc>
      </w:tr>
      <w:tr w14:paraId="3FAC87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1239" w:type="dxa"/>
            <w:vAlign w:val="center"/>
          </w:tcPr>
          <w:p w14:paraId="421C5712">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 w:hAnsi="仿宋" w:eastAsia="仿宋" w:cs="仿宋"/>
                <w:sz w:val="24"/>
              </w:rPr>
              <w:t>★</w:t>
            </w:r>
          </w:p>
        </w:tc>
        <w:tc>
          <w:tcPr>
            <w:tcW w:w="750" w:type="dxa"/>
            <w:vAlign w:val="center"/>
          </w:tcPr>
          <w:p w14:paraId="57B465D5">
            <w:pPr>
              <w:pStyle w:val="30"/>
              <w:numPr>
                <w:ilvl w:val="0"/>
                <w:numId w:val="1"/>
              </w:numPr>
              <w:spacing w:line="400" w:lineRule="exact"/>
              <w:jc w:val="center"/>
              <w:rPr>
                <w:rFonts w:hint="default" w:ascii="仿宋" w:hAnsi="仿宋" w:eastAsia="仿宋" w:cs="仿宋"/>
                <w:sz w:val="24"/>
                <w:szCs w:val="24"/>
              </w:rPr>
            </w:pPr>
          </w:p>
        </w:tc>
        <w:tc>
          <w:tcPr>
            <w:tcW w:w="7149" w:type="dxa"/>
            <w:vAlign w:val="center"/>
          </w:tcPr>
          <w:p w14:paraId="2B316CA5">
            <w:pPr>
              <w:pStyle w:val="30"/>
              <w:keepNext w:val="0"/>
              <w:keepLines w:val="0"/>
              <w:pageBreakBefore w:val="0"/>
              <w:widowControl/>
              <w:kinsoku/>
              <w:wordWrap/>
              <w:overflowPunct/>
              <w:topLinePunct w:val="0"/>
              <w:autoSpaceDE/>
              <w:autoSpaceDN/>
              <w:bidi w:val="0"/>
              <w:adjustRightInd/>
              <w:snapToGrid/>
              <w:spacing w:after="0" w:line="400" w:lineRule="exact"/>
              <w:textAlignment w:val="auto"/>
              <w:rPr>
                <w:rFonts w:hint="default" w:ascii="仿宋" w:hAnsi="仿宋" w:eastAsia="仿宋" w:cs="仿宋"/>
                <w:color w:val="000000" w:themeColor="text1"/>
                <w:sz w:val="24"/>
                <w:szCs w:val="24"/>
                <w:lang w:eastAsia="zh-CN"/>
                <w14:textFill>
                  <w14:solidFill>
                    <w14:schemeClr w14:val="tx1"/>
                  </w14:solidFill>
                </w14:textFill>
              </w:rPr>
            </w:pPr>
            <w:r>
              <w:rPr>
                <w:rFonts w:ascii="仿宋" w:hAnsi="仿宋" w:eastAsia="仿宋" w:cs="仿宋"/>
                <w:color w:val="000000" w:themeColor="text1"/>
                <w:sz w:val="24"/>
                <w:szCs w:val="24"/>
                <w:lang w:eastAsia="zh-CN"/>
                <w14:textFill>
                  <w14:solidFill>
                    <w14:schemeClr w14:val="tx1"/>
                  </w14:solidFill>
                </w14:textFill>
              </w:rPr>
              <w:t>二、</w:t>
            </w:r>
            <w:r>
              <w:rPr>
                <w:rFonts w:hint="eastAsia" w:ascii="仿宋" w:hAnsi="仿宋" w:eastAsia="仿宋" w:cs="仿宋"/>
                <w:color w:val="000000" w:themeColor="text1"/>
                <w:sz w:val="24"/>
                <w:szCs w:val="24"/>
                <w:lang w:val="en-US" w:eastAsia="zh-CN"/>
                <w14:textFill>
                  <w14:solidFill>
                    <w14:schemeClr w14:val="tx1"/>
                  </w14:solidFill>
                </w14:textFill>
              </w:rPr>
              <w:t>设备</w:t>
            </w:r>
            <w:r>
              <w:rPr>
                <w:rFonts w:ascii="仿宋" w:hAnsi="仿宋" w:eastAsia="仿宋" w:cs="仿宋"/>
                <w:color w:val="000000" w:themeColor="text1"/>
                <w:sz w:val="24"/>
                <w:szCs w:val="24"/>
                <w:lang w:eastAsia="zh-CN"/>
                <w14:textFill>
                  <w14:solidFill>
                    <w14:schemeClr w14:val="tx1"/>
                  </w14:solidFill>
                </w14:textFill>
              </w:rPr>
              <w:t>主要技术要求（达到或优于）</w:t>
            </w:r>
          </w:p>
          <w:p w14:paraId="0D620B71">
            <w:pPr>
              <w:pStyle w:val="30"/>
              <w:spacing w:line="400" w:lineRule="exact"/>
              <w:rPr>
                <w:rFonts w:hint="default" w:ascii="仿宋" w:hAnsi="仿宋" w:eastAsia="仿宋" w:cs="仿宋"/>
                <w:sz w:val="24"/>
                <w:szCs w:val="24"/>
                <w:lang w:eastAsia="zh-CN"/>
              </w:rPr>
            </w:pPr>
            <w:r>
              <w:rPr>
                <w:rFonts w:hint="eastAsia" w:ascii="仿宋" w:hAnsi="仿宋" w:eastAsia="仿宋" w:cs="仿宋"/>
                <w:sz w:val="24"/>
                <w:szCs w:val="24"/>
                <w:lang w:val="en-US" w:eastAsia="zh-CN"/>
              </w:rPr>
              <w:t>1.</w:t>
            </w:r>
            <w:r>
              <w:rPr>
                <w:rFonts w:ascii="仿宋" w:hAnsi="仿宋" w:eastAsia="仿宋" w:cs="仿宋"/>
                <w:sz w:val="24"/>
                <w:szCs w:val="24"/>
                <w:lang w:eastAsia="zh-CN"/>
              </w:rPr>
              <w:t>实时监测气道压力与流量，动态调节输出气流</w:t>
            </w:r>
            <w:r>
              <w:rPr>
                <w:rFonts w:hint="eastAsia" w:ascii="仿宋" w:hAnsi="仿宋" w:eastAsia="仿宋" w:cs="仿宋"/>
                <w:sz w:val="24"/>
                <w:szCs w:val="24"/>
                <w:lang w:eastAsia="zh-CN"/>
              </w:rPr>
              <w:t>；</w:t>
            </w:r>
            <w:r>
              <w:rPr>
                <w:rFonts w:ascii="仿宋" w:hAnsi="仿宋" w:eastAsia="仿宋" w:cs="仿宋"/>
                <w:sz w:val="24"/>
                <w:szCs w:val="24"/>
                <w:lang w:eastAsia="zh-CN"/>
              </w:rPr>
              <w:t>具备</w:t>
            </w:r>
            <w:r>
              <w:rPr>
                <w:rFonts w:hint="eastAsia" w:ascii="仿宋" w:hAnsi="仿宋" w:eastAsia="仿宋" w:cs="仿宋"/>
                <w:sz w:val="24"/>
                <w:szCs w:val="24"/>
                <w:lang w:val="en-US" w:eastAsia="zh-CN"/>
              </w:rPr>
              <w:t>全自动</w:t>
            </w:r>
            <w:r>
              <w:rPr>
                <w:rFonts w:ascii="仿宋" w:hAnsi="仿宋" w:eastAsia="仿宋" w:cs="仿宋"/>
                <w:sz w:val="24"/>
                <w:szCs w:val="24"/>
                <w:lang w:eastAsia="zh-CN"/>
              </w:rPr>
              <w:t>漏气补偿</w:t>
            </w:r>
            <w:r>
              <w:rPr>
                <w:rFonts w:hint="eastAsia" w:ascii="仿宋" w:hAnsi="仿宋" w:eastAsia="仿宋" w:cs="仿宋"/>
                <w:sz w:val="24"/>
                <w:szCs w:val="24"/>
                <w:lang w:val="en-US" w:eastAsia="zh-CN"/>
              </w:rPr>
              <w:t>功能</w:t>
            </w:r>
            <w:r>
              <w:rPr>
                <w:rFonts w:ascii="仿宋" w:hAnsi="仿宋" w:eastAsia="仿宋" w:cs="仿宋"/>
                <w:sz w:val="24"/>
                <w:szCs w:val="24"/>
                <w:lang w:eastAsia="zh-CN"/>
              </w:rPr>
              <w:t>，精准维持预设通气压力</w:t>
            </w:r>
            <w:r>
              <w:rPr>
                <w:rFonts w:hint="eastAsia" w:ascii="仿宋" w:hAnsi="仿宋" w:eastAsia="仿宋" w:cs="仿宋"/>
                <w:sz w:val="24"/>
                <w:szCs w:val="24"/>
                <w:lang w:val="en-US" w:eastAsia="zh-CN"/>
              </w:rPr>
              <w:t>和保障患者潮气量稳定</w:t>
            </w:r>
            <w:r>
              <w:rPr>
                <w:rFonts w:ascii="仿宋" w:hAnsi="仿宋" w:eastAsia="仿宋" w:cs="仿宋"/>
                <w:sz w:val="24"/>
                <w:szCs w:val="24"/>
                <w:lang w:eastAsia="zh-CN"/>
              </w:rPr>
              <w:t>，适配无创面罩漏气</w:t>
            </w:r>
            <w:r>
              <w:rPr>
                <w:rFonts w:hint="eastAsia" w:ascii="仿宋" w:hAnsi="仿宋" w:eastAsia="仿宋" w:cs="仿宋"/>
                <w:sz w:val="24"/>
                <w:szCs w:val="24"/>
                <w:lang w:eastAsia="zh-CN"/>
              </w:rPr>
              <w:t>。</w:t>
            </w:r>
          </w:p>
        </w:tc>
      </w:tr>
      <w:tr w14:paraId="050DE0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1239" w:type="dxa"/>
            <w:vAlign w:val="center"/>
          </w:tcPr>
          <w:p w14:paraId="361B25ED">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ascii="仿宋" w:hAnsi="仿宋" w:eastAsia="仿宋" w:cs="仿宋"/>
                <w:sz w:val="24"/>
              </w:rPr>
              <w:t>▲</w:t>
            </w:r>
          </w:p>
        </w:tc>
        <w:tc>
          <w:tcPr>
            <w:tcW w:w="750" w:type="dxa"/>
            <w:vAlign w:val="center"/>
          </w:tcPr>
          <w:p w14:paraId="47FF073F">
            <w:pPr>
              <w:pStyle w:val="30"/>
              <w:numPr>
                <w:ilvl w:val="0"/>
                <w:numId w:val="1"/>
              </w:numPr>
              <w:spacing w:line="400" w:lineRule="exact"/>
              <w:jc w:val="center"/>
              <w:rPr>
                <w:rFonts w:hint="default" w:ascii="仿宋" w:hAnsi="仿宋" w:eastAsia="仿宋" w:cs="仿宋"/>
                <w:sz w:val="24"/>
                <w:szCs w:val="24"/>
              </w:rPr>
            </w:pPr>
          </w:p>
        </w:tc>
        <w:tc>
          <w:tcPr>
            <w:tcW w:w="7149" w:type="dxa"/>
            <w:vAlign w:val="center"/>
          </w:tcPr>
          <w:p w14:paraId="700A085C">
            <w:pPr>
              <w:pStyle w:val="30"/>
              <w:spacing w:line="400" w:lineRule="exact"/>
              <w:rPr>
                <w:rFonts w:hint="default" w:ascii="仿宋" w:hAnsi="仿宋" w:eastAsia="仿宋" w:cs="仿宋"/>
                <w:sz w:val="24"/>
                <w:szCs w:val="24"/>
                <w:lang w:eastAsia="zh-CN"/>
              </w:rPr>
            </w:pPr>
            <w:r>
              <w:rPr>
                <w:rFonts w:hint="eastAsia" w:ascii="仿宋" w:hAnsi="仿宋" w:eastAsia="仿宋" w:cs="仿宋"/>
                <w:sz w:val="24"/>
                <w:szCs w:val="24"/>
                <w:lang w:val="en-US" w:eastAsia="zh-CN"/>
              </w:rPr>
              <w:t>2.</w:t>
            </w:r>
            <w:r>
              <w:rPr>
                <w:rFonts w:ascii="仿宋" w:hAnsi="仿宋" w:eastAsia="仿宋" w:cs="仿宋"/>
                <w:sz w:val="24"/>
                <w:szCs w:val="24"/>
                <w:lang w:eastAsia="zh-CN"/>
              </w:rPr>
              <w:t>工作模式：具有CPAP持续气道正压、BiPAP双水平气道正压两种基础工作模式</w:t>
            </w:r>
            <w:r>
              <w:rPr>
                <w:rFonts w:hint="eastAsia" w:ascii="仿宋" w:hAnsi="仿宋" w:eastAsia="仿宋" w:cs="仿宋"/>
                <w:sz w:val="24"/>
                <w:szCs w:val="24"/>
                <w:lang w:eastAsia="zh-CN"/>
              </w:rPr>
              <w:t>。</w:t>
            </w:r>
          </w:p>
        </w:tc>
      </w:tr>
      <w:tr w14:paraId="5B4D72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1239" w:type="dxa"/>
            <w:vAlign w:val="center"/>
          </w:tcPr>
          <w:p w14:paraId="6F01DD14">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p>
        </w:tc>
        <w:tc>
          <w:tcPr>
            <w:tcW w:w="750" w:type="dxa"/>
            <w:vAlign w:val="center"/>
          </w:tcPr>
          <w:p w14:paraId="7F45CE0F">
            <w:pPr>
              <w:pStyle w:val="30"/>
              <w:numPr>
                <w:ilvl w:val="0"/>
                <w:numId w:val="1"/>
              </w:numPr>
              <w:spacing w:line="400" w:lineRule="exact"/>
              <w:jc w:val="center"/>
              <w:rPr>
                <w:rFonts w:hint="default" w:ascii="仿宋" w:hAnsi="仿宋" w:eastAsia="仿宋" w:cs="仿宋"/>
                <w:sz w:val="24"/>
                <w:szCs w:val="24"/>
              </w:rPr>
            </w:pPr>
          </w:p>
        </w:tc>
        <w:tc>
          <w:tcPr>
            <w:tcW w:w="7149" w:type="dxa"/>
            <w:vAlign w:val="center"/>
          </w:tcPr>
          <w:p w14:paraId="7FA3DC1A">
            <w:pPr>
              <w:pStyle w:val="30"/>
              <w:keepNext w:val="0"/>
              <w:keepLines w:val="0"/>
              <w:pageBreakBefore w:val="0"/>
              <w:widowControl/>
              <w:kinsoku/>
              <w:wordWrap/>
              <w:overflowPunct/>
              <w:topLinePunct w:val="0"/>
              <w:autoSpaceDE/>
              <w:autoSpaceDN/>
              <w:bidi w:val="0"/>
              <w:adjustRightInd/>
              <w:snapToGrid/>
              <w:spacing w:after="0" w:line="400" w:lineRule="exact"/>
              <w:textAlignment w:val="auto"/>
              <w:rPr>
                <w:rFonts w:hint="default" w:ascii="仿宋" w:hAnsi="仿宋" w:eastAsia="仿宋" w:cs="仿宋"/>
                <w:sz w:val="24"/>
                <w:szCs w:val="24"/>
                <w:lang w:eastAsia="zh-CN"/>
              </w:rPr>
            </w:pPr>
            <w:r>
              <w:rPr>
                <w:rFonts w:hint="eastAsia" w:ascii="仿宋" w:hAnsi="仿宋" w:eastAsia="仿宋" w:cs="仿宋"/>
                <w:sz w:val="24"/>
                <w:szCs w:val="24"/>
                <w:lang w:val="en-US" w:eastAsia="zh-CN"/>
              </w:rPr>
              <w:t>3.</w:t>
            </w:r>
            <w:r>
              <w:rPr>
                <w:rFonts w:ascii="仿宋" w:hAnsi="仿宋" w:eastAsia="仿宋" w:cs="仿宋"/>
                <w:sz w:val="24"/>
                <w:szCs w:val="24"/>
                <w:lang w:eastAsia="zh-CN"/>
              </w:rPr>
              <w:t>工作电源: 220V/50Hz，兼容国内标准医用市电</w:t>
            </w:r>
            <w:r>
              <w:rPr>
                <w:rFonts w:hint="eastAsia" w:ascii="仿宋" w:hAnsi="仿宋" w:eastAsia="仿宋" w:cs="仿宋"/>
                <w:sz w:val="24"/>
                <w:szCs w:val="24"/>
                <w:lang w:eastAsia="zh-CN"/>
              </w:rPr>
              <w:t>。</w:t>
            </w:r>
          </w:p>
        </w:tc>
      </w:tr>
      <w:tr w14:paraId="142B4E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7" w:hRule="atLeast"/>
        </w:trPr>
        <w:tc>
          <w:tcPr>
            <w:tcW w:w="1239" w:type="dxa"/>
            <w:vAlign w:val="center"/>
          </w:tcPr>
          <w:p w14:paraId="5449CFE2">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p>
        </w:tc>
        <w:tc>
          <w:tcPr>
            <w:tcW w:w="750" w:type="dxa"/>
            <w:vAlign w:val="center"/>
          </w:tcPr>
          <w:p w14:paraId="7DC70C17">
            <w:pPr>
              <w:pStyle w:val="30"/>
              <w:numPr>
                <w:ilvl w:val="0"/>
                <w:numId w:val="1"/>
              </w:numPr>
              <w:spacing w:line="400" w:lineRule="exact"/>
              <w:jc w:val="center"/>
              <w:rPr>
                <w:rFonts w:hint="default" w:ascii="仿宋" w:hAnsi="仿宋" w:eastAsia="仿宋" w:cs="仿宋"/>
                <w:sz w:val="24"/>
                <w:szCs w:val="24"/>
              </w:rPr>
            </w:pPr>
          </w:p>
        </w:tc>
        <w:tc>
          <w:tcPr>
            <w:tcW w:w="7149" w:type="dxa"/>
            <w:vAlign w:val="center"/>
          </w:tcPr>
          <w:p w14:paraId="1991F495">
            <w:pPr>
              <w:pStyle w:val="30"/>
              <w:keepNext w:val="0"/>
              <w:keepLines w:val="0"/>
              <w:pageBreakBefore w:val="0"/>
              <w:widowControl/>
              <w:kinsoku/>
              <w:wordWrap/>
              <w:overflowPunct/>
              <w:topLinePunct w:val="0"/>
              <w:autoSpaceDE/>
              <w:autoSpaceDN/>
              <w:bidi w:val="0"/>
              <w:adjustRightInd/>
              <w:snapToGrid/>
              <w:spacing w:after="0" w:line="400" w:lineRule="exact"/>
              <w:textAlignment w:val="auto"/>
              <w:rPr>
                <w:rFonts w:hint="default" w:ascii="仿宋" w:hAnsi="仿宋" w:eastAsia="仿宋" w:cs="仿宋"/>
                <w:sz w:val="24"/>
                <w:szCs w:val="24"/>
                <w:lang w:eastAsia="zh-CN"/>
              </w:rPr>
            </w:pPr>
            <w:r>
              <w:rPr>
                <w:rFonts w:hint="eastAsia" w:ascii="仿宋" w:hAnsi="仿宋" w:eastAsia="仿宋" w:cs="仿宋"/>
                <w:sz w:val="24"/>
                <w:szCs w:val="24"/>
                <w:lang w:val="en-US" w:eastAsia="zh-CN"/>
              </w:rPr>
              <w:t>4.屏幕：</w:t>
            </w:r>
            <w:r>
              <w:rPr>
                <w:rFonts w:ascii="仿宋" w:hAnsi="仿宋" w:eastAsia="仿宋" w:cs="仿宋"/>
                <w:sz w:val="24"/>
                <w:szCs w:val="24"/>
                <w:lang w:eastAsia="zh-CN"/>
              </w:rPr>
              <w:t>强光病房可视，可实时显示压力、潮气量、呼吸频率、漏气量、血氧等全部通气数据</w:t>
            </w:r>
            <w:r>
              <w:rPr>
                <w:rFonts w:hint="eastAsia" w:ascii="仿宋" w:hAnsi="仿宋" w:eastAsia="仿宋" w:cs="仿宋"/>
                <w:sz w:val="24"/>
                <w:szCs w:val="24"/>
                <w:lang w:eastAsia="zh-CN"/>
              </w:rPr>
              <w:t>。</w:t>
            </w:r>
          </w:p>
        </w:tc>
      </w:tr>
      <w:tr w14:paraId="6DCC18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7" w:hRule="atLeast"/>
        </w:trPr>
        <w:tc>
          <w:tcPr>
            <w:tcW w:w="1239" w:type="dxa"/>
            <w:vAlign w:val="center"/>
          </w:tcPr>
          <w:p w14:paraId="35AA1F6E">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p>
        </w:tc>
        <w:tc>
          <w:tcPr>
            <w:tcW w:w="750" w:type="dxa"/>
            <w:vAlign w:val="center"/>
          </w:tcPr>
          <w:p w14:paraId="115C7423">
            <w:pPr>
              <w:pStyle w:val="30"/>
              <w:numPr>
                <w:ilvl w:val="0"/>
                <w:numId w:val="1"/>
              </w:numPr>
              <w:spacing w:line="400" w:lineRule="exact"/>
              <w:jc w:val="center"/>
              <w:rPr>
                <w:rFonts w:hint="default" w:ascii="仿宋" w:hAnsi="仿宋" w:eastAsia="仿宋" w:cs="仿宋"/>
                <w:sz w:val="24"/>
                <w:szCs w:val="24"/>
              </w:rPr>
            </w:pPr>
          </w:p>
        </w:tc>
        <w:tc>
          <w:tcPr>
            <w:tcW w:w="7149" w:type="dxa"/>
            <w:vAlign w:val="center"/>
          </w:tcPr>
          <w:p w14:paraId="71C24CC7">
            <w:pPr>
              <w:pStyle w:val="30"/>
              <w:keepNext w:val="0"/>
              <w:keepLines w:val="0"/>
              <w:pageBreakBefore w:val="0"/>
              <w:widowControl/>
              <w:kinsoku/>
              <w:wordWrap/>
              <w:overflowPunct/>
              <w:topLinePunct w:val="0"/>
              <w:autoSpaceDE/>
              <w:autoSpaceDN/>
              <w:bidi w:val="0"/>
              <w:adjustRightInd/>
              <w:snapToGrid/>
              <w:spacing w:after="0" w:line="400" w:lineRule="exact"/>
              <w:textAlignment w:val="auto"/>
              <w:rPr>
                <w:rFonts w:hint="default" w:ascii="仿宋" w:hAnsi="仿宋" w:eastAsia="仿宋" w:cs="仿宋"/>
                <w:sz w:val="24"/>
                <w:szCs w:val="24"/>
                <w:lang w:eastAsia="zh-CN"/>
              </w:rPr>
            </w:pPr>
            <w:r>
              <w:rPr>
                <w:rFonts w:hint="eastAsia" w:ascii="仿宋" w:hAnsi="仿宋" w:eastAsia="仿宋" w:cs="仿宋"/>
                <w:sz w:val="24"/>
                <w:szCs w:val="24"/>
                <w:lang w:val="en-US" w:eastAsia="zh-CN"/>
              </w:rPr>
              <w:t>5.</w:t>
            </w:r>
            <w:r>
              <w:rPr>
                <w:rFonts w:ascii="仿宋" w:hAnsi="仿宋" w:eastAsia="仿宋" w:cs="仿宋"/>
                <w:sz w:val="24"/>
                <w:szCs w:val="24"/>
                <w:lang w:eastAsia="zh-CN"/>
              </w:rPr>
              <w:t>主机防水防尘，可耐受病房常规消毒擦拭，防液体垂直滴落</w:t>
            </w:r>
            <w:r>
              <w:rPr>
                <w:rFonts w:hint="eastAsia" w:ascii="仿宋" w:hAnsi="仿宋" w:eastAsia="仿宋" w:cs="仿宋"/>
                <w:sz w:val="24"/>
                <w:szCs w:val="24"/>
                <w:lang w:eastAsia="zh-CN"/>
              </w:rPr>
              <w:t>。</w:t>
            </w:r>
          </w:p>
        </w:tc>
      </w:tr>
      <w:tr w14:paraId="098F58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4" w:hRule="atLeast"/>
        </w:trPr>
        <w:tc>
          <w:tcPr>
            <w:tcW w:w="1239" w:type="dxa"/>
            <w:vAlign w:val="center"/>
          </w:tcPr>
          <w:p w14:paraId="3E2D9E46">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p>
        </w:tc>
        <w:tc>
          <w:tcPr>
            <w:tcW w:w="750" w:type="dxa"/>
            <w:vAlign w:val="center"/>
          </w:tcPr>
          <w:p w14:paraId="74AD14B2">
            <w:pPr>
              <w:pStyle w:val="30"/>
              <w:numPr>
                <w:ilvl w:val="0"/>
                <w:numId w:val="1"/>
              </w:numPr>
              <w:spacing w:line="400" w:lineRule="exact"/>
              <w:jc w:val="center"/>
              <w:rPr>
                <w:rFonts w:hint="default" w:ascii="仿宋" w:hAnsi="仿宋" w:eastAsia="仿宋" w:cs="仿宋"/>
                <w:sz w:val="24"/>
                <w:szCs w:val="24"/>
              </w:rPr>
            </w:pPr>
          </w:p>
        </w:tc>
        <w:tc>
          <w:tcPr>
            <w:tcW w:w="7149" w:type="dxa"/>
            <w:vAlign w:val="center"/>
          </w:tcPr>
          <w:p w14:paraId="27A001B5">
            <w:pPr>
              <w:pStyle w:val="30"/>
              <w:keepNext w:val="0"/>
              <w:keepLines w:val="0"/>
              <w:pageBreakBefore w:val="0"/>
              <w:widowControl/>
              <w:kinsoku/>
              <w:wordWrap/>
              <w:overflowPunct/>
              <w:topLinePunct w:val="0"/>
              <w:autoSpaceDE/>
              <w:autoSpaceDN/>
              <w:bidi w:val="0"/>
              <w:adjustRightInd/>
              <w:snapToGrid/>
              <w:spacing w:after="0" w:line="400" w:lineRule="exact"/>
              <w:textAlignment w:val="auto"/>
              <w:rPr>
                <w:rFonts w:hint="default" w:ascii="仿宋" w:hAnsi="仿宋" w:eastAsia="仿宋" w:cs="仿宋"/>
                <w:sz w:val="24"/>
                <w:szCs w:val="24"/>
                <w:lang w:eastAsia="zh-CN"/>
              </w:rPr>
            </w:pPr>
            <w:r>
              <w:rPr>
                <w:rFonts w:hint="eastAsia" w:ascii="仿宋" w:hAnsi="仿宋" w:eastAsia="仿宋" w:cs="仿宋"/>
                <w:sz w:val="24"/>
                <w:szCs w:val="24"/>
                <w:lang w:val="en-US" w:eastAsia="zh-CN"/>
              </w:rPr>
              <w:t>6.</w:t>
            </w:r>
            <w:r>
              <w:rPr>
                <w:rFonts w:ascii="仿宋" w:hAnsi="仿宋" w:eastAsia="仿宋" w:cs="仿宋"/>
                <w:sz w:val="24"/>
                <w:szCs w:val="24"/>
                <w:lang w:eastAsia="zh-CN"/>
              </w:rPr>
              <w:t>存储回顾≥</w:t>
            </w:r>
            <w:r>
              <w:rPr>
                <w:rFonts w:hint="eastAsia" w:ascii="仿宋" w:hAnsi="仿宋" w:eastAsia="仿宋" w:cs="仿宋"/>
                <w:sz w:val="24"/>
                <w:szCs w:val="24"/>
                <w:lang w:val="en-US" w:eastAsia="zh-CN"/>
              </w:rPr>
              <w:t>100</w:t>
            </w:r>
            <w:r>
              <w:rPr>
                <w:rFonts w:ascii="仿宋" w:hAnsi="仿宋" w:eastAsia="仿宋" w:cs="仿宋"/>
                <w:sz w:val="24"/>
                <w:szCs w:val="24"/>
                <w:lang w:eastAsia="zh-CN"/>
              </w:rPr>
              <w:t>个历史病人数据。</w:t>
            </w:r>
          </w:p>
        </w:tc>
      </w:tr>
      <w:tr w14:paraId="50E7D5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4" w:hRule="atLeast"/>
        </w:trPr>
        <w:tc>
          <w:tcPr>
            <w:tcW w:w="1239" w:type="dxa"/>
            <w:vAlign w:val="center"/>
          </w:tcPr>
          <w:p w14:paraId="6657BBD2">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 w:hAnsi="仿宋" w:eastAsia="仿宋" w:cs="仿宋"/>
                <w:sz w:val="24"/>
              </w:rPr>
              <w:t>★</w:t>
            </w:r>
          </w:p>
        </w:tc>
        <w:tc>
          <w:tcPr>
            <w:tcW w:w="750" w:type="dxa"/>
            <w:vAlign w:val="center"/>
          </w:tcPr>
          <w:p w14:paraId="2993A7AB">
            <w:pPr>
              <w:pStyle w:val="30"/>
              <w:numPr>
                <w:ilvl w:val="0"/>
                <w:numId w:val="1"/>
              </w:numPr>
              <w:spacing w:line="400" w:lineRule="exact"/>
              <w:jc w:val="center"/>
              <w:rPr>
                <w:rFonts w:hint="default" w:ascii="仿宋" w:hAnsi="仿宋" w:eastAsia="仿宋" w:cs="仿宋"/>
                <w:sz w:val="24"/>
                <w:szCs w:val="24"/>
              </w:rPr>
            </w:pPr>
          </w:p>
        </w:tc>
        <w:tc>
          <w:tcPr>
            <w:tcW w:w="7149" w:type="dxa"/>
            <w:vAlign w:val="center"/>
          </w:tcPr>
          <w:p w14:paraId="06355429">
            <w:pPr>
              <w:pStyle w:val="30"/>
              <w:spacing w:line="400" w:lineRule="exact"/>
              <w:rPr>
                <w:rFonts w:hint="default" w:ascii="仿宋" w:hAnsi="仿宋" w:eastAsia="仿宋" w:cs="仿宋"/>
                <w:sz w:val="24"/>
                <w:szCs w:val="24"/>
                <w:lang w:eastAsia="zh-CN"/>
              </w:rPr>
            </w:pPr>
            <w:r>
              <w:rPr>
                <w:rFonts w:ascii="仿宋" w:hAnsi="仿宋" w:eastAsia="仿宋" w:cs="仿宋"/>
                <w:sz w:val="24"/>
                <w:szCs w:val="24"/>
                <w:lang w:eastAsia="zh-CN"/>
              </w:rPr>
              <w:t>三.主要配置清单</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单台</w:t>
            </w:r>
            <w:r>
              <w:rPr>
                <w:rFonts w:hint="eastAsia" w:ascii="仿宋" w:hAnsi="仿宋" w:eastAsia="仿宋" w:cs="仿宋"/>
                <w:sz w:val="24"/>
                <w:szCs w:val="24"/>
                <w:lang w:eastAsia="zh-CN"/>
              </w:rPr>
              <w:t>）</w:t>
            </w:r>
            <w:r>
              <w:rPr>
                <w:rFonts w:ascii="仿宋" w:hAnsi="仿宋" w:eastAsia="仿宋" w:cs="仿宋"/>
                <w:sz w:val="24"/>
                <w:szCs w:val="24"/>
                <w:lang w:eastAsia="zh-CN"/>
              </w:rPr>
              <w:t>：</w:t>
            </w:r>
          </w:p>
          <w:tbl>
            <w:tblPr>
              <w:tblStyle w:val="12"/>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812"/>
              <w:gridCol w:w="3417"/>
              <w:gridCol w:w="850"/>
              <w:gridCol w:w="916"/>
            </w:tblGrid>
            <w:tr w14:paraId="08BB4CB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74542143">
                  <w:pPr>
                    <w:pStyle w:val="30"/>
                    <w:jc w:val="center"/>
                    <w:rPr>
                      <w:rFonts w:hint="default"/>
                    </w:rPr>
                  </w:pPr>
                  <w:r>
                    <w:rPr>
                      <w:b/>
                      <w:sz w:val="21"/>
                    </w:rPr>
                    <w:t>序号</w:t>
                  </w:r>
                </w:p>
              </w:tc>
              <w:tc>
                <w:tcPr>
                  <w:tcW w:w="3417"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07CE69E2">
                  <w:pPr>
                    <w:pStyle w:val="30"/>
                    <w:jc w:val="center"/>
                    <w:rPr>
                      <w:rFonts w:hint="default"/>
                      <w:lang w:eastAsia="zh-CN"/>
                    </w:rPr>
                  </w:pPr>
                  <w:r>
                    <w:rPr>
                      <w:b/>
                      <w:sz w:val="21"/>
                      <w:lang w:eastAsia="zh-CN"/>
                    </w:rPr>
                    <w:t>配置名称</w:t>
                  </w:r>
                </w:p>
              </w:tc>
              <w:tc>
                <w:tcPr>
                  <w:tcW w:w="85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3E34F006">
                  <w:pPr>
                    <w:pStyle w:val="30"/>
                    <w:jc w:val="center"/>
                    <w:rPr>
                      <w:rFonts w:hint="default"/>
                      <w:lang w:eastAsia="zh-CN"/>
                    </w:rPr>
                  </w:pPr>
                  <w:r>
                    <w:rPr>
                      <w:b/>
                      <w:bCs/>
                      <w:lang w:eastAsia="zh-CN"/>
                    </w:rPr>
                    <w:t>单位</w:t>
                  </w:r>
                </w:p>
              </w:tc>
              <w:tc>
                <w:tcPr>
                  <w:tcW w:w="91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6BF067FD">
                  <w:pPr>
                    <w:pStyle w:val="30"/>
                    <w:jc w:val="center"/>
                    <w:rPr>
                      <w:rFonts w:hint="default"/>
                      <w:b/>
                      <w:sz w:val="21"/>
                      <w:lang w:eastAsia="zh-CN"/>
                    </w:rPr>
                  </w:pPr>
                  <w:r>
                    <w:rPr>
                      <w:b/>
                      <w:sz w:val="21"/>
                      <w:lang w:eastAsia="zh-CN"/>
                    </w:rPr>
                    <w:t>数量</w:t>
                  </w:r>
                </w:p>
              </w:tc>
            </w:tr>
            <w:tr w14:paraId="0EEE6FC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81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769F9BF">
                  <w:pPr>
                    <w:pStyle w:val="30"/>
                    <w:keepNext w:val="0"/>
                    <w:keepLines w:val="0"/>
                    <w:pageBreakBefore w:val="0"/>
                    <w:widowControl/>
                    <w:kinsoku/>
                    <w:wordWrap/>
                    <w:overflowPunct/>
                    <w:topLinePunct w:val="0"/>
                    <w:autoSpaceDE/>
                    <w:autoSpaceDN/>
                    <w:bidi w:val="0"/>
                    <w:adjustRightInd/>
                    <w:snapToGrid/>
                    <w:spacing w:after="0"/>
                    <w:jc w:val="center"/>
                    <w:textAlignment w:val="auto"/>
                    <w:rPr>
                      <w:rFonts w:hint="default"/>
                    </w:rPr>
                  </w:pPr>
                  <w:r>
                    <w:rPr>
                      <w:sz w:val="21"/>
                    </w:rPr>
                    <w:t>1</w:t>
                  </w:r>
                </w:p>
              </w:tc>
              <w:tc>
                <w:tcPr>
                  <w:tcW w:w="3417"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374F8DBD">
                  <w:pPr>
                    <w:pStyle w:val="30"/>
                    <w:keepNext w:val="0"/>
                    <w:keepLines w:val="0"/>
                    <w:pageBreakBefore w:val="0"/>
                    <w:widowControl/>
                    <w:kinsoku/>
                    <w:wordWrap/>
                    <w:overflowPunct/>
                    <w:topLinePunct w:val="0"/>
                    <w:autoSpaceDE/>
                    <w:autoSpaceDN/>
                    <w:bidi w:val="0"/>
                    <w:adjustRightInd/>
                    <w:snapToGrid/>
                    <w:spacing w:after="0" w:line="400" w:lineRule="exact"/>
                    <w:textAlignment w:val="auto"/>
                    <w:rPr>
                      <w:rFonts w:hint="default" w:ascii="仿宋" w:hAnsi="仿宋" w:eastAsia="仿宋" w:cs="仿宋"/>
                      <w:sz w:val="24"/>
                      <w:szCs w:val="24"/>
                      <w:lang w:val="en-US" w:eastAsia="zh-CN" w:bidi="ar-SA"/>
                    </w:rPr>
                  </w:pPr>
                  <w:r>
                    <w:rPr>
                      <w:rFonts w:ascii="仿宋" w:hAnsi="仿宋" w:eastAsia="仿宋" w:cs="仿宋"/>
                      <w:sz w:val="24"/>
                      <w:szCs w:val="24"/>
                      <w:lang w:eastAsia="zh-CN"/>
                    </w:rPr>
                    <w:t>无创呼吸机主机</w:t>
                  </w:r>
                </w:p>
              </w:tc>
              <w:tc>
                <w:tcPr>
                  <w:tcW w:w="850"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4F1002FE">
                  <w:pPr>
                    <w:pStyle w:val="30"/>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仿宋" w:hAnsi="仿宋" w:eastAsia="仿宋" w:cs="仿宋"/>
                      <w:sz w:val="24"/>
                      <w:szCs w:val="24"/>
                      <w:lang w:val="en-US" w:eastAsia="zh-CN" w:bidi="ar-SA"/>
                    </w:rPr>
                  </w:pPr>
                  <w:r>
                    <w:rPr>
                      <w:rFonts w:ascii="仿宋" w:hAnsi="仿宋" w:eastAsia="仿宋" w:cs="仿宋"/>
                      <w:sz w:val="24"/>
                      <w:szCs w:val="24"/>
                      <w:lang w:eastAsia="zh-CN"/>
                    </w:rPr>
                    <w:t>台</w:t>
                  </w:r>
                </w:p>
              </w:tc>
              <w:tc>
                <w:tcPr>
                  <w:tcW w:w="91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2E923C68">
                  <w:pPr>
                    <w:pStyle w:val="30"/>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仿宋" w:hAnsi="仿宋" w:eastAsia="仿宋" w:cs="仿宋"/>
                      <w:sz w:val="24"/>
                      <w:szCs w:val="24"/>
                      <w:lang w:val="en-US" w:eastAsia="zh-CN" w:bidi="ar-SA"/>
                    </w:rPr>
                  </w:pPr>
                  <w:r>
                    <w:rPr>
                      <w:rFonts w:ascii="仿宋" w:hAnsi="仿宋" w:eastAsia="仿宋" w:cs="仿宋"/>
                      <w:sz w:val="24"/>
                      <w:szCs w:val="24"/>
                      <w:lang w:eastAsia="zh-CN"/>
                    </w:rPr>
                    <w:t>1</w:t>
                  </w:r>
                </w:p>
              </w:tc>
            </w:tr>
            <w:tr w14:paraId="1620F5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3BF8A37">
                  <w:pPr>
                    <w:pStyle w:val="30"/>
                    <w:keepNext w:val="0"/>
                    <w:keepLines w:val="0"/>
                    <w:pageBreakBefore w:val="0"/>
                    <w:widowControl/>
                    <w:kinsoku/>
                    <w:wordWrap/>
                    <w:overflowPunct/>
                    <w:topLinePunct w:val="0"/>
                    <w:autoSpaceDE/>
                    <w:autoSpaceDN/>
                    <w:bidi w:val="0"/>
                    <w:adjustRightInd/>
                    <w:snapToGrid/>
                    <w:spacing w:after="0"/>
                    <w:jc w:val="center"/>
                    <w:textAlignment w:val="auto"/>
                    <w:rPr>
                      <w:rFonts w:hint="default"/>
                    </w:rPr>
                  </w:pPr>
                  <w:r>
                    <w:rPr>
                      <w:sz w:val="21"/>
                    </w:rPr>
                    <w:t>2</w:t>
                  </w:r>
                </w:p>
              </w:tc>
              <w:tc>
                <w:tcPr>
                  <w:tcW w:w="3417"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36248F7C">
                  <w:pPr>
                    <w:pStyle w:val="30"/>
                    <w:keepNext w:val="0"/>
                    <w:keepLines w:val="0"/>
                    <w:pageBreakBefore w:val="0"/>
                    <w:widowControl/>
                    <w:kinsoku/>
                    <w:wordWrap/>
                    <w:overflowPunct/>
                    <w:topLinePunct w:val="0"/>
                    <w:autoSpaceDE/>
                    <w:autoSpaceDN/>
                    <w:bidi w:val="0"/>
                    <w:adjustRightInd/>
                    <w:snapToGrid/>
                    <w:spacing w:after="0" w:line="400" w:lineRule="exact"/>
                    <w:textAlignment w:val="auto"/>
                    <w:rPr>
                      <w:rFonts w:hint="default" w:ascii="仿宋" w:hAnsi="仿宋" w:eastAsia="仿宋" w:cs="仿宋"/>
                      <w:sz w:val="24"/>
                      <w:szCs w:val="24"/>
                      <w:lang w:val="en-US" w:eastAsia="zh-CN" w:bidi="ar-SA"/>
                    </w:rPr>
                  </w:pPr>
                  <w:r>
                    <w:rPr>
                      <w:rFonts w:ascii="仿宋" w:hAnsi="仿宋" w:eastAsia="仿宋" w:cs="仿宋"/>
                      <w:sz w:val="24"/>
                      <w:szCs w:val="24"/>
                      <w:lang w:eastAsia="zh-CN"/>
                    </w:rPr>
                    <w:t>一体化加温湿化器</w:t>
                  </w:r>
                </w:p>
              </w:tc>
              <w:tc>
                <w:tcPr>
                  <w:tcW w:w="850"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2F209E6D">
                  <w:pPr>
                    <w:pStyle w:val="30"/>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仿宋" w:hAnsi="仿宋" w:eastAsia="仿宋" w:cs="仿宋"/>
                      <w:sz w:val="24"/>
                      <w:szCs w:val="24"/>
                      <w:lang w:val="en-US" w:eastAsia="zh-CN" w:bidi="ar-SA"/>
                    </w:rPr>
                  </w:pPr>
                  <w:r>
                    <w:rPr>
                      <w:rFonts w:ascii="仿宋" w:hAnsi="仿宋" w:eastAsia="仿宋" w:cs="仿宋"/>
                      <w:sz w:val="24"/>
                      <w:szCs w:val="24"/>
                      <w:lang w:eastAsia="zh-CN"/>
                    </w:rPr>
                    <w:t>套</w:t>
                  </w:r>
                </w:p>
              </w:tc>
              <w:tc>
                <w:tcPr>
                  <w:tcW w:w="91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1520EBD4">
                  <w:pPr>
                    <w:pStyle w:val="30"/>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rPr>
                    <w:t>1</w:t>
                  </w:r>
                </w:p>
              </w:tc>
            </w:tr>
            <w:tr w14:paraId="679D9D5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2" w:type="dxa"/>
                  <w:tcBorders>
                    <w:top w:val="nil"/>
                    <w:left w:val="single" w:color="000000" w:sz="4" w:space="0"/>
                    <w:bottom w:val="single" w:color="auto" w:sz="4" w:space="0"/>
                    <w:right w:val="single" w:color="000000" w:sz="4" w:space="0"/>
                  </w:tcBorders>
                  <w:tcMar>
                    <w:top w:w="0" w:type="dxa"/>
                    <w:left w:w="105" w:type="dxa"/>
                    <w:bottom w:w="0" w:type="dxa"/>
                    <w:right w:w="105" w:type="dxa"/>
                  </w:tcMar>
                  <w:vAlign w:val="center"/>
                </w:tcPr>
                <w:p w14:paraId="38534351">
                  <w:pPr>
                    <w:pStyle w:val="30"/>
                    <w:keepNext w:val="0"/>
                    <w:keepLines w:val="0"/>
                    <w:pageBreakBefore w:val="0"/>
                    <w:widowControl/>
                    <w:kinsoku/>
                    <w:wordWrap/>
                    <w:overflowPunct/>
                    <w:topLinePunct w:val="0"/>
                    <w:autoSpaceDE/>
                    <w:autoSpaceDN/>
                    <w:bidi w:val="0"/>
                    <w:adjustRightInd/>
                    <w:snapToGrid/>
                    <w:spacing w:after="0"/>
                    <w:jc w:val="center"/>
                    <w:textAlignment w:val="auto"/>
                    <w:rPr>
                      <w:rFonts w:hint="default"/>
                    </w:rPr>
                  </w:pPr>
                  <w:r>
                    <w:rPr>
                      <w:sz w:val="21"/>
                    </w:rPr>
                    <w:t>3</w:t>
                  </w:r>
                </w:p>
              </w:tc>
              <w:tc>
                <w:tcPr>
                  <w:tcW w:w="3417" w:type="dxa"/>
                  <w:tcBorders>
                    <w:top w:val="nil"/>
                    <w:left w:val="nil"/>
                    <w:bottom w:val="single" w:color="auto" w:sz="4" w:space="0"/>
                    <w:right w:val="single" w:color="000000" w:sz="4" w:space="0"/>
                  </w:tcBorders>
                  <w:shd w:val="clear" w:color="auto" w:fill="auto"/>
                  <w:tcMar>
                    <w:top w:w="0" w:type="dxa"/>
                    <w:left w:w="105" w:type="dxa"/>
                    <w:bottom w:w="0" w:type="dxa"/>
                    <w:right w:w="105" w:type="dxa"/>
                  </w:tcMar>
                  <w:vAlign w:val="center"/>
                </w:tcPr>
                <w:p w14:paraId="4CAD1382">
                  <w:pPr>
                    <w:pStyle w:val="30"/>
                    <w:keepNext w:val="0"/>
                    <w:keepLines w:val="0"/>
                    <w:pageBreakBefore w:val="0"/>
                    <w:widowControl/>
                    <w:kinsoku/>
                    <w:wordWrap/>
                    <w:overflowPunct/>
                    <w:topLinePunct w:val="0"/>
                    <w:autoSpaceDE/>
                    <w:autoSpaceDN/>
                    <w:bidi w:val="0"/>
                    <w:adjustRightInd/>
                    <w:snapToGrid/>
                    <w:spacing w:after="0" w:line="400" w:lineRule="exact"/>
                    <w:textAlignment w:val="auto"/>
                    <w:rPr>
                      <w:rFonts w:hint="default" w:ascii="仿宋" w:hAnsi="仿宋" w:eastAsia="仿宋" w:cs="仿宋"/>
                      <w:sz w:val="24"/>
                      <w:szCs w:val="24"/>
                      <w:lang w:val="en-US" w:eastAsia="zh-CN" w:bidi="ar-SA"/>
                    </w:rPr>
                  </w:pPr>
                  <w:r>
                    <w:rPr>
                      <w:rFonts w:ascii="仿宋" w:hAnsi="仿宋" w:eastAsia="仿宋" w:cs="仿宋"/>
                      <w:sz w:val="24"/>
                      <w:szCs w:val="24"/>
                      <w:lang w:eastAsia="zh-CN"/>
                    </w:rPr>
                    <w:t xml:space="preserve">医用标准呼吸管路 </w:t>
                  </w:r>
                </w:p>
              </w:tc>
              <w:tc>
                <w:tcPr>
                  <w:tcW w:w="850" w:type="dxa"/>
                  <w:tcBorders>
                    <w:top w:val="nil"/>
                    <w:left w:val="nil"/>
                    <w:bottom w:val="single" w:color="auto" w:sz="4" w:space="0"/>
                    <w:right w:val="single" w:color="000000" w:sz="4" w:space="0"/>
                  </w:tcBorders>
                  <w:shd w:val="clear" w:color="auto" w:fill="auto"/>
                  <w:tcMar>
                    <w:top w:w="0" w:type="dxa"/>
                    <w:left w:w="105" w:type="dxa"/>
                    <w:bottom w:w="0" w:type="dxa"/>
                    <w:right w:w="105" w:type="dxa"/>
                  </w:tcMar>
                  <w:vAlign w:val="center"/>
                </w:tcPr>
                <w:p w14:paraId="3A8C7A6D">
                  <w:pPr>
                    <w:pStyle w:val="30"/>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仿宋" w:hAnsi="仿宋" w:eastAsia="仿宋" w:cs="仿宋"/>
                      <w:sz w:val="24"/>
                      <w:szCs w:val="24"/>
                      <w:lang w:val="en-US" w:eastAsia="zh-CN" w:bidi="ar-SA"/>
                    </w:rPr>
                  </w:pPr>
                  <w:r>
                    <w:rPr>
                      <w:rFonts w:ascii="仿宋" w:hAnsi="仿宋" w:eastAsia="仿宋" w:cs="仿宋"/>
                      <w:sz w:val="24"/>
                      <w:szCs w:val="24"/>
                      <w:lang w:eastAsia="zh-CN"/>
                    </w:rPr>
                    <w:t>套</w:t>
                  </w:r>
                </w:p>
              </w:tc>
              <w:tc>
                <w:tcPr>
                  <w:tcW w:w="916" w:type="dxa"/>
                  <w:tcBorders>
                    <w:top w:val="nil"/>
                    <w:left w:val="nil"/>
                    <w:bottom w:val="single" w:color="auto" w:sz="4" w:space="0"/>
                    <w:right w:val="single" w:color="000000" w:sz="4" w:space="0"/>
                  </w:tcBorders>
                  <w:shd w:val="clear" w:color="auto" w:fill="auto"/>
                  <w:tcMar>
                    <w:top w:w="0" w:type="dxa"/>
                    <w:left w:w="105" w:type="dxa"/>
                    <w:bottom w:w="0" w:type="dxa"/>
                    <w:right w:w="105" w:type="dxa"/>
                  </w:tcMar>
                  <w:vAlign w:val="center"/>
                </w:tcPr>
                <w:p w14:paraId="4843E861">
                  <w:pPr>
                    <w:pStyle w:val="30"/>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rPr>
                    <w:t>2</w:t>
                  </w:r>
                </w:p>
              </w:tc>
            </w:tr>
            <w:tr w14:paraId="44A421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A96484D">
                  <w:pPr>
                    <w:pStyle w:val="30"/>
                    <w:keepNext w:val="0"/>
                    <w:keepLines w:val="0"/>
                    <w:pageBreakBefore w:val="0"/>
                    <w:widowControl/>
                    <w:kinsoku/>
                    <w:wordWrap/>
                    <w:overflowPunct/>
                    <w:topLinePunct w:val="0"/>
                    <w:autoSpaceDE/>
                    <w:autoSpaceDN/>
                    <w:bidi w:val="0"/>
                    <w:adjustRightInd/>
                    <w:snapToGrid/>
                    <w:spacing w:after="0"/>
                    <w:jc w:val="center"/>
                    <w:textAlignment w:val="auto"/>
                    <w:rPr>
                      <w:rFonts w:hint="default"/>
                    </w:rPr>
                  </w:pPr>
                  <w:r>
                    <w:rPr>
                      <w:sz w:val="21"/>
                    </w:rPr>
                    <w:t>4</w:t>
                  </w:r>
                </w:p>
              </w:tc>
              <w:tc>
                <w:tcPr>
                  <w:tcW w:w="341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14:paraId="493D2A33">
                  <w:pPr>
                    <w:pStyle w:val="30"/>
                    <w:keepNext w:val="0"/>
                    <w:keepLines w:val="0"/>
                    <w:pageBreakBefore w:val="0"/>
                    <w:widowControl/>
                    <w:kinsoku/>
                    <w:wordWrap/>
                    <w:overflowPunct/>
                    <w:topLinePunct w:val="0"/>
                    <w:autoSpaceDE/>
                    <w:autoSpaceDN/>
                    <w:bidi w:val="0"/>
                    <w:adjustRightInd/>
                    <w:snapToGrid/>
                    <w:spacing w:after="0" w:line="400" w:lineRule="exact"/>
                    <w:textAlignment w:val="auto"/>
                    <w:rPr>
                      <w:rFonts w:hint="default" w:ascii="仿宋" w:hAnsi="仿宋" w:eastAsia="仿宋" w:cs="仿宋"/>
                      <w:sz w:val="24"/>
                      <w:szCs w:val="24"/>
                      <w:lang w:val="en-US" w:eastAsia="zh-CN" w:bidi="ar-SA"/>
                    </w:rPr>
                  </w:pPr>
                  <w:r>
                    <w:rPr>
                      <w:rFonts w:ascii="仿宋" w:hAnsi="仿宋" w:eastAsia="仿宋" w:cs="仿宋"/>
                      <w:sz w:val="24"/>
                      <w:szCs w:val="24"/>
                      <w:lang w:eastAsia="zh-CN"/>
                    </w:rPr>
                    <w:t>成人通用无创口鼻面罩（含头带、硅胶垫）</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14:paraId="0E91E661">
                  <w:pPr>
                    <w:pStyle w:val="30"/>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仿宋" w:hAnsi="仿宋" w:eastAsia="仿宋" w:cs="仿宋"/>
                      <w:sz w:val="24"/>
                      <w:szCs w:val="24"/>
                      <w:lang w:val="en-US" w:eastAsia="zh-CN" w:bidi="ar-SA"/>
                    </w:rPr>
                  </w:pPr>
                  <w:r>
                    <w:rPr>
                      <w:rFonts w:ascii="仿宋" w:hAnsi="仿宋" w:eastAsia="仿宋" w:cs="仿宋"/>
                      <w:sz w:val="24"/>
                      <w:szCs w:val="24"/>
                      <w:lang w:eastAsia="zh-CN"/>
                    </w:rPr>
                    <w:t>个</w:t>
                  </w:r>
                </w:p>
              </w:tc>
              <w:tc>
                <w:tcPr>
                  <w:tcW w:w="916"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14:paraId="40BA43BE">
                  <w:pPr>
                    <w:pStyle w:val="30"/>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rPr>
                    <w:t>2</w:t>
                  </w:r>
                </w:p>
              </w:tc>
            </w:tr>
            <w:tr w14:paraId="10D776D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4479ADE">
                  <w:pPr>
                    <w:pStyle w:val="30"/>
                    <w:keepNext w:val="0"/>
                    <w:keepLines w:val="0"/>
                    <w:pageBreakBefore w:val="0"/>
                    <w:widowControl/>
                    <w:kinsoku/>
                    <w:wordWrap/>
                    <w:overflowPunct/>
                    <w:topLinePunct w:val="0"/>
                    <w:autoSpaceDE/>
                    <w:autoSpaceDN/>
                    <w:bidi w:val="0"/>
                    <w:adjustRightInd/>
                    <w:snapToGrid/>
                    <w:spacing w:after="0"/>
                    <w:jc w:val="center"/>
                    <w:textAlignment w:val="auto"/>
                    <w:rPr>
                      <w:rFonts w:hint="eastAsia" w:eastAsia="宋体"/>
                      <w:sz w:val="21"/>
                      <w:lang w:val="en-US" w:eastAsia="zh-CN"/>
                    </w:rPr>
                  </w:pPr>
                  <w:r>
                    <w:rPr>
                      <w:rFonts w:hint="eastAsia"/>
                      <w:sz w:val="21"/>
                      <w:lang w:val="en-US" w:eastAsia="zh-CN"/>
                    </w:rPr>
                    <w:t>5</w:t>
                  </w:r>
                </w:p>
              </w:tc>
              <w:tc>
                <w:tcPr>
                  <w:tcW w:w="341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14:paraId="23B78CB6">
                  <w:pPr>
                    <w:pStyle w:val="30"/>
                    <w:keepNext w:val="0"/>
                    <w:keepLines w:val="0"/>
                    <w:pageBreakBefore w:val="0"/>
                    <w:widowControl/>
                    <w:kinsoku/>
                    <w:wordWrap/>
                    <w:overflowPunct/>
                    <w:topLinePunct w:val="0"/>
                    <w:autoSpaceDE/>
                    <w:autoSpaceDN/>
                    <w:bidi w:val="0"/>
                    <w:adjustRightInd/>
                    <w:snapToGrid/>
                    <w:spacing w:after="0" w:line="400" w:lineRule="exact"/>
                    <w:textAlignment w:val="auto"/>
                    <w:rPr>
                      <w:rFonts w:hint="default" w:ascii="仿宋" w:hAnsi="仿宋" w:eastAsia="仿宋" w:cs="仿宋"/>
                      <w:sz w:val="24"/>
                      <w:szCs w:val="24"/>
                      <w:lang w:val="en-US" w:eastAsia="zh-CN" w:bidi="ar-SA"/>
                    </w:rPr>
                  </w:pPr>
                  <w:r>
                    <w:rPr>
                      <w:rFonts w:ascii="仿宋" w:hAnsi="仿宋" w:eastAsia="仿宋" w:cs="仿宋"/>
                      <w:sz w:val="24"/>
                      <w:szCs w:val="24"/>
                      <w:lang w:eastAsia="zh-CN"/>
                    </w:rPr>
                    <w:t>空气过滤棉</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14:paraId="10107696">
                  <w:pPr>
                    <w:pStyle w:val="30"/>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仿宋" w:hAnsi="仿宋" w:eastAsia="仿宋" w:cs="仿宋"/>
                      <w:sz w:val="24"/>
                      <w:szCs w:val="24"/>
                      <w:lang w:val="en-US" w:eastAsia="zh-CN" w:bidi="ar-SA"/>
                    </w:rPr>
                  </w:pPr>
                  <w:r>
                    <w:rPr>
                      <w:rFonts w:ascii="仿宋" w:hAnsi="仿宋" w:eastAsia="仿宋" w:cs="仿宋"/>
                      <w:sz w:val="24"/>
                      <w:szCs w:val="24"/>
                      <w:lang w:eastAsia="zh-CN"/>
                    </w:rPr>
                    <w:t>套</w:t>
                  </w:r>
                </w:p>
              </w:tc>
              <w:tc>
                <w:tcPr>
                  <w:tcW w:w="916"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14:paraId="0B3D30D3">
                  <w:pPr>
                    <w:pStyle w:val="30"/>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rPr>
                    <w:t>10</w:t>
                  </w:r>
                </w:p>
              </w:tc>
            </w:tr>
            <w:tr w14:paraId="020E0BF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D7D6FC8">
                  <w:pPr>
                    <w:pStyle w:val="30"/>
                    <w:keepNext w:val="0"/>
                    <w:keepLines w:val="0"/>
                    <w:pageBreakBefore w:val="0"/>
                    <w:widowControl/>
                    <w:kinsoku/>
                    <w:wordWrap/>
                    <w:overflowPunct/>
                    <w:topLinePunct w:val="0"/>
                    <w:autoSpaceDE/>
                    <w:autoSpaceDN/>
                    <w:bidi w:val="0"/>
                    <w:adjustRightInd/>
                    <w:snapToGrid/>
                    <w:spacing w:after="0"/>
                    <w:jc w:val="center"/>
                    <w:textAlignment w:val="auto"/>
                    <w:rPr>
                      <w:rFonts w:hint="eastAsia" w:eastAsia="宋体"/>
                      <w:sz w:val="21"/>
                      <w:lang w:val="en-US" w:eastAsia="zh-CN"/>
                    </w:rPr>
                  </w:pPr>
                  <w:r>
                    <w:rPr>
                      <w:rFonts w:hint="eastAsia"/>
                      <w:sz w:val="21"/>
                      <w:lang w:val="en-US" w:eastAsia="zh-CN"/>
                    </w:rPr>
                    <w:t>6</w:t>
                  </w:r>
                </w:p>
              </w:tc>
              <w:tc>
                <w:tcPr>
                  <w:tcW w:w="341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14:paraId="7CE705C1">
                  <w:pPr>
                    <w:pStyle w:val="30"/>
                    <w:keepNext w:val="0"/>
                    <w:keepLines w:val="0"/>
                    <w:pageBreakBefore w:val="0"/>
                    <w:widowControl/>
                    <w:kinsoku/>
                    <w:wordWrap/>
                    <w:overflowPunct/>
                    <w:topLinePunct w:val="0"/>
                    <w:autoSpaceDE/>
                    <w:autoSpaceDN/>
                    <w:bidi w:val="0"/>
                    <w:adjustRightInd/>
                    <w:snapToGrid/>
                    <w:spacing w:after="0" w:line="400" w:lineRule="exact"/>
                    <w:textAlignment w:val="auto"/>
                    <w:rPr>
                      <w:rFonts w:hint="default" w:ascii="仿宋" w:hAnsi="仿宋" w:eastAsia="仿宋" w:cs="仿宋"/>
                      <w:sz w:val="24"/>
                      <w:szCs w:val="24"/>
                      <w:lang w:val="en-US" w:eastAsia="zh-CN" w:bidi="ar-SA"/>
                    </w:rPr>
                  </w:pPr>
                  <w:r>
                    <w:rPr>
                      <w:rFonts w:ascii="仿宋" w:hAnsi="仿宋" w:eastAsia="仿宋" w:cs="仿宋"/>
                      <w:sz w:val="24"/>
                      <w:szCs w:val="24"/>
                      <w:lang w:eastAsia="zh-CN"/>
                    </w:rPr>
                    <w:t>细菌过滤器</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14:paraId="6A36A57B">
                  <w:pPr>
                    <w:pStyle w:val="30"/>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仿宋" w:hAnsi="仿宋" w:eastAsia="仿宋" w:cs="仿宋"/>
                      <w:sz w:val="24"/>
                      <w:szCs w:val="24"/>
                      <w:lang w:val="en-US" w:eastAsia="zh-CN" w:bidi="ar-SA"/>
                    </w:rPr>
                  </w:pPr>
                  <w:r>
                    <w:rPr>
                      <w:rFonts w:ascii="仿宋" w:hAnsi="仿宋" w:eastAsia="仿宋" w:cs="仿宋"/>
                      <w:sz w:val="24"/>
                      <w:szCs w:val="24"/>
                      <w:lang w:eastAsia="zh-CN"/>
                    </w:rPr>
                    <w:t>套</w:t>
                  </w:r>
                </w:p>
              </w:tc>
              <w:tc>
                <w:tcPr>
                  <w:tcW w:w="916"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14:paraId="7EA7CDFC">
                  <w:pPr>
                    <w:pStyle w:val="30"/>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rPr>
                    <w:t>10</w:t>
                  </w:r>
                </w:p>
              </w:tc>
            </w:tr>
            <w:tr w14:paraId="5D859A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1ACE652">
                  <w:pPr>
                    <w:pStyle w:val="30"/>
                    <w:keepNext w:val="0"/>
                    <w:keepLines w:val="0"/>
                    <w:pageBreakBefore w:val="0"/>
                    <w:widowControl/>
                    <w:kinsoku/>
                    <w:wordWrap/>
                    <w:overflowPunct/>
                    <w:topLinePunct w:val="0"/>
                    <w:autoSpaceDE/>
                    <w:autoSpaceDN/>
                    <w:bidi w:val="0"/>
                    <w:adjustRightInd/>
                    <w:snapToGrid/>
                    <w:spacing w:after="0"/>
                    <w:jc w:val="center"/>
                    <w:textAlignment w:val="auto"/>
                    <w:rPr>
                      <w:rFonts w:hint="eastAsia" w:eastAsia="宋体"/>
                      <w:sz w:val="21"/>
                      <w:lang w:val="en-US" w:eastAsia="zh-CN"/>
                    </w:rPr>
                  </w:pPr>
                  <w:r>
                    <w:rPr>
                      <w:rFonts w:hint="eastAsia"/>
                      <w:sz w:val="21"/>
                      <w:lang w:val="en-US" w:eastAsia="zh-CN"/>
                    </w:rPr>
                    <w:t>7</w:t>
                  </w:r>
                </w:p>
              </w:tc>
              <w:tc>
                <w:tcPr>
                  <w:tcW w:w="341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14:paraId="29CD548C">
                  <w:pPr>
                    <w:pStyle w:val="30"/>
                    <w:keepNext w:val="0"/>
                    <w:keepLines w:val="0"/>
                    <w:pageBreakBefore w:val="0"/>
                    <w:widowControl/>
                    <w:kinsoku/>
                    <w:wordWrap/>
                    <w:overflowPunct/>
                    <w:topLinePunct w:val="0"/>
                    <w:autoSpaceDE/>
                    <w:autoSpaceDN/>
                    <w:bidi w:val="0"/>
                    <w:adjustRightInd/>
                    <w:snapToGrid/>
                    <w:spacing w:after="0" w:line="400" w:lineRule="exact"/>
                    <w:textAlignment w:val="auto"/>
                    <w:rPr>
                      <w:rFonts w:hint="default" w:ascii="仿宋" w:hAnsi="仿宋" w:eastAsia="仿宋" w:cs="仿宋"/>
                      <w:sz w:val="24"/>
                      <w:szCs w:val="24"/>
                      <w:lang w:val="en-US" w:eastAsia="zh-CN" w:bidi="ar-SA"/>
                    </w:rPr>
                  </w:pPr>
                  <w:r>
                    <w:rPr>
                      <w:rFonts w:ascii="仿宋" w:hAnsi="仿宋" w:eastAsia="仿宋" w:cs="仿宋"/>
                      <w:sz w:val="24"/>
                      <w:szCs w:val="24"/>
                      <w:lang w:eastAsia="zh-CN"/>
                    </w:rPr>
                    <w:t>U盘（用于患者数据导出）</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14:paraId="064A48D3">
                  <w:pPr>
                    <w:pStyle w:val="30"/>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rPr>
                    <w:t>个</w:t>
                  </w:r>
                </w:p>
              </w:tc>
              <w:tc>
                <w:tcPr>
                  <w:tcW w:w="916"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14:paraId="3424CFFA">
                  <w:pPr>
                    <w:pStyle w:val="30"/>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rPr>
                    <w:t>1</w:t>
                  </w:r>
                </w:p>
              </w:tc>
            </w:tr>
            <w:tr w14:paraId="3205158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A0E0B46">
                  <w:pPr>
                    <w:pStyle w:val="30"/>
                    <w:keepNext w:val="0"/>
                    <w:keepLines w:val="0"/>
                    <w:pageBreakBefore w:val="0"/>
                    <w:widowControl/>
                    <w:kinsoku/>
                    <w:wordWrap/>
                    <w:overflowPunct/>
                    <w:topLinePunct w:val="0"/>
                    <w:autoSpaceDE/>
                    <w:autoSpaceDN/>
                    <w:bidi w:val="0"/>
                    <w:adjustRightInd/>
                    <w:snapToGrid/>
                    <w:spacing w:after="0"/>
                    <w:jc w:val="center"/>
                    <w:textAlignment w:val="auto"/>
                    <w:rPr>
                      <w:rFonts w:hint="eastAsia" w:eastAsia="宋体"/>
                      <w:sz w:val="21"/>
                      <w:lang w:val="en-US" w:eastAsia="zh-CN"/>
                    </w:rPr>
                  </w:pPr>
                  <w:r>
                    <w:rPr>
                      <w:rFonts w:hint="eastAsia"/>
                      <w:sz w:val="21"/>
                      <w:lang w:val="en-US" w:eastAsia="zh-CN"/>
                    </w:rPr>
                    <w:t>8</w:t>
                  </w:r>
                </w:p>
              </w:tc>
              <w:tc>
                <w:tcPr>
                  <w:tcW w:w="341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14:paraId="68BD95A6">
                  <w:pPr>
                    <w:pStyle w:val="30"/>
                    <w:keepNext w:val="0"/>
                    <w:keepLines w:val="0"/>
                    <w:pageBreakBefore w:val="0"/>
                    <w:widowControl/>
                    <w:kinsoku/>
                    <w:wordWrap/>
                    <w:overflowPunct/>
                    <w:topLinePunct w:val="0"/>
                    <w:autoSpaceDE/>
                    <w:autoSpaceDN/>
                    <w:bidi w:val="0"/>
                    <w:adjustRightInd/>
                    <w:snapToGrid/>
                    <w:spacing w:after="0" w:line="400" w:lineRule="exact"/>
                    <w:jc w:val="both"/>
                    <w:textAlignment w:val="auto"/>
                    <w:rPr>
                      <w:rFonts w:hint="default" w:ascii="仿宋" w:hAnsi="仿宋" w:eastAsia="仿宋" w:cs="仿宋"/>
                      <w:sz w:val="24"/>
                      <w:szCs w:val="24"/>
                      <w:lang w:val="en-US" w:eastAsia="zh-CN" w:bidi="ar-SA"/>
                    </w:rPr>
                  </w:pPr>
                  <w:r>
                    <w:rPr>
                      <w:rFonts w:ascii="仿宋" w:hAnsi="仿宋" w:eastAsia="仿宋" w:cs="仿宋"/>
                      <w:sz w:val="24"/>
                      <w:szCs w:val="24"/>
                      <w:lang w:eastAsia="zh-CN"/>
                    </w:rPr>
                    <w:t>原厂操作说明书、维修手册、合格证、注册证全套纸质资料</w:t>
                  </w:r>
                </w:p>
              </w:tc>
              <w:tc>
                <w:tcPr>
                  <w:tcW w:w="8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3DE692D">
                  <w:pPr>
                    <w:pStyle w:val="30"/>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套</w:t>
                  </w:r>
                </w:p>
              </w:tc>
              <w:tc>
                <w:tcPr>
                  <w:tcW w:w="91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0BFC646">
                  <w:pPr>
                    <w:pStyle w:val="30"/>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1</w:t>
                  </w:r>
                </w:p>
              </w:tc>
            </w:tr>
          </w:tbl>
          <w:p w14:paraId="0C61533C">
            <w:pPr>
              <w:pStyle w:val="30"/>
              <w:keepNext w:val="0"/>
              <w:keepLines w:val="0"/>
              <w:pageBreakBefore w:val="0"/>
              <w:widowControl/>
              <w:kinsoku/>
              <w:wordWrap/>
              <w:overflowPunct/>
              <w:topLinePunct w:val="0"/>
              <w:autoSpaceDE/>
              <w:autoSpaceDN/>
              <w:bidi w:val="0"/>
              <w:adjustRightInd/>
              <w:snapToGrid/>
              <w:spacing w:after="0" w:line="400" w:lineRule="exact"/>
              <w:textAlignment w:val="auto"/>
              <w:rPr>
                <w:rFonts w:hint="eastAsia" w:ascii="仿宋" w:hAnsi="仿宋" w:eastAsia="仿宋" w:cs="仿宋"/>
                <w:sz w:val="24"/>
                <w:szCs w:val="24"/>
                <w:lang w:val="en-US" w:eastAsia="zh-CN"/>
              </w:rPr>
            </w:pPr>
            <w:r>
              <w:rPr>
                <w:rFonts w:ascii="仿宋" w:hAnsi="仿宋" w:eastAsia="仿宋" w:cs="仿宋"/>
                <w:sz w:val="24"/>
                <w:szCs w:val="24"/>
                <w:lang w:eastAsia="zh-CN"/>
              </w:rPr>
              <w:t>以上配置不排除遗漏的可能性，供应商应自行添加必要的配置以保证设备能正常运转。否则，影响验收后果自负。</w:t>
            </w:r>
          </w:p>
        </w:tc>
      </w:tr>
      <w:tr w14:paraId="456A39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65" w:hRule="atLeast"/>
        </w:trPr>
        <w:tc>
          <w:tcPr>
            <w:tcW w:w="1239" w:type="dxa"/>
          </w:tcPr>
          <w:p w14:paraId="49E2256D">
            <w:pPr>
              <w:pStyle w:val="30"/>
              <w:spacing w:line="400" w:lineRule="exact"/>
              <w:rPr>
                <w:rFonts w:hint="default" w:ascii="仿宋" w:hAnsi="仿宋" w:eastAsia="仿宋" w:cs="仿宋"/>
                <w:sz w:val="24"/>
                <w:szCs w:val="24"/>
              </w:rPr>
            </w:pPr>
            <w:r>
              <w:rPr>
                <w:rFonts w:ascii="仿宋" w:hAnsi="仿宋" w:eastAsia="仿宋" w:cs="仿宋"/>
                <w:sz w:val="24"/>
                <w:szCs w:val="24"/>
              </w:rPr>
              <w:t>说明</w:t>
            </w:r>
          </w:p>
        </w:tc>
        <w:tc>
          <w:tcPr>
            <w:tcW w:w="7899" w:type="dxa"/>
            <w:gridSpan w:val="2"/>
          </w:tcPr>
          <w:p w14:paraId="558D45FD">
            <w:pPr>
              <w:pStyle w:val="30"/>
              <w:keepNext w:val="0"/>
              <w:keepLines w:val="0"/>
              <w:pageBreakBefore w:val="0"/>
              <w:widowControl/>
              <w:kinsoku/>
              <w:wordWrap/>
              <w:overflowPunct/>
              <w:topLinePunct w:val="0"/>
              <w:autoSpaceDE/>
              <w:autoSpaceDN/>
              <w:bidi w:val="0"/>
              <w:adjustRightInd/>
              <w:snapToGrid/>
              <w:spacing w:after="0" w:line="400" w:lineRule="exact"/>
              <w:textAlignment w:val="auto"/>
              <w:rPr>
                <w:rFonts w:hint="default" w:ascii="仿宋" w:hAnsi="仿宋" w:eastAsia="仿宋" w:cs="仿宋"/>
                <w:sz w:val="24"/>
                <w:szCs w:val="24"/>
              </w:rPr>
            </w:pPr>
            <w:r>
              <w:rPr>
                <w:rFonts w:ascii="仿宋" w:hAnsi="仿宋" w:eastAsia="仿宋" w:cs="仿宋"/>
                <w:sz w:val="24"/>
                <w:szCs w:val="24"/>
              </w:rPr>
              <w:t>打“</w:t>
            </w:r>
            <w:bookmarkStart w:id="0" w:name="OLE_LINK5"/>
            <w:r>
              <w:rPr>
                <w:rFonts w:ascii="仿宋" w:hAnsi="仿宋" w:eastAsia="仿宋" w:cs="仿宋"/>
                <w:sz w:val="24"/>
                <w:szCs w:val="24"/>
              </w:rPr>
              <w:t>★</w:t>
            </w:r>
            <w:bookmarkEnd w:id="0"/>
            <w:r>
              <w:rPr>
                <w:rFonts w:ascii="仿宋" w:hAnsi="仿宋" w:eastAsia="仿宋" w:cs="仿宋"/>
                <w:sz w:val="24"/>
                <w:szCs w:val="24"/>
              </w:rPr>
              <w:t xml:space="preserve">”号条款为实质性条款，若有任何一条负偏离或不满足则导致投标无效。 </w:t>
            </w:r>
            <w:r>
              <w:rPr>
                <w:rFonts w:ascii="仿宋" w:hAnsi="仿宋" w:eastAsia="仿宋" w:cs="仿宋"/>
                <w:sz w:val="24"/>
                <w:szCs w:val="24"/>
              </w:rPr>
              <w:br w:type="textWrapping"/>
            </w:r>
            <w:r>
              <w:rPr>
                <w:rFonts w:ascii="仿宋" w:hAnsi="仿宋" w:eastAsia="仿宋" w:cs="仿宋"/>
                <w:sz w:val="24"/>
                <w:szCs w:val="24"/>
              </w:rPr>
              <w:t>打“▲”号条款为重要技术参数，若有部分“▲”条款未响应或不满足，将导致其响应性评审加重扣分，但不作为无效投标条款。</w:t>
            </w:r>
          </w:p>
        </w:tc>
      </w:tr>
    </w:tbl>
    <w:p w14:paraId="56AE0046">
      <w:pPr>
        <w:snapToGrid w:val="0"/>
        <w:spacing w:line="276" w:lineRule="auto"/>
        <w:ind w:firstLine="0"/>
        <w:rPr>
          <w:rFonts w:hint="eastAsia" w:ascii="仿宋_GB2312" w:hAnsi="仿宋"/>
          <w:b/>
          <w:szCs w:val="32"/>
        </w:rPr>
      </w:pPr>
    </w:p>
    <w:p w14:paraId="6AEAE566">
      <w:pPr>
        <w:pStyle w:val="2"/>
        <w:rPr>
          <w:rFonts w:hint="eastAsia" w:ascii="仿宋_GB2312" w:hAnsi="仿宋"/>
          <w:b/>
          <w:szCs w:val="32"/>
        </w:rPr>
      </w:pPr>
    </w:p>
    <w:p w14:paraId="542B01AB">
      <w:pPr>
        <w:pStyle w:val="2"/>
        <w:rPr>
          <w:rFonts w:hint="eastAsia" w:ascii="仿宋_GB2312" w:hAnsi="仿宋"/>
          <w:b/>
          <w:szCs w:val="32"/>
        </w:rPr>
      </w:pPr>
    </w:p>
    <w:p w14:paraId="2869F357">
      <w:pPr>
        <w:pStyle w:val="2"/>
        <w:rPr>
          <w:rFonts w:hint="eastAsia" w:ascii="仿宋_GB2312" w:hAnsi="仿宋"/>
          <w:b/>
          <w:szCs w:val="32"/>
        </w:rPr>
      </w:pPr>
    </w:p>
    <w:p w14:paraId="29482A84">
      <w:pPr>
        <w:snapToGrid w:val="0"/>
        <w:spacing w:line="276" w:lineRule="auto"/>
        <w:ind w:firstLine="0"/>
        <w:rPr>
          <w:rFonts w:hint="eastAsia" w:ascii="仿宋_GB2312" w:hAnsi="仿宋"/>
          <w:b/>
          <w:szCs w:val="32"/>
        </w:rPr>
      </w:pPr>
    </w:p>
    <w:p w14:paraId="09CCAC81">
      <w:pPr>
        <w:snapToGrid w:val="0"/>
        <w:spacing w:line="276" w:lineRule="auto"/>
        <w:ind w:firstLine="0"/>
        <w:rPr>
          <w:rFonts w:hint="eastAsia" w:ascii="仿宋_GB2312" w:hAnsi="仿宋"/>
          <w:b/>
          <w:szCs w:val="32"/>
        </w:rPr>
      </w:pPr>
      <w:r>
        <w:rPr>
          <w:rFonts w:hint="eastAsia" w:ascii="仿宋_GB2312" w:hAnsi="仿宋"/>
          <w:b/>
          <w:szCs w:val="32"/>
        </w:rPr>
        <w:t>评审因素及对应的分值、权重：</w:t>
      </w:r>
    </w:p>
    <w:tbl>
      <w:tblPr>
        <w:tblStyle w:val="12"/>
        <w:tblW w:w="921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53"/>
        <w:gridCol w:w="2376"/>
        <w:gridCol w:w="5986"/>
      </w:tblGrid>
      <w:tr w14:paraId="0F69A2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70" w:hRule="atLeast"/>
        </w:trPr>
        <w:tc>
          <w:tcPr>
            <w:tcW w:w="853" w:type="dxa"/>
          </w:tcPr>
          <w:p w14:paraId="360A8BA5">
            <w:pPr>
              <w:ind w:firstLine="0"/>
              <w:rPr>
                <w:sz w:val="28"/>
                <w:szCs w:val="28"/>
              </w:rPr>
            </w:pPr>
            <w:r>
              <w:rPr>
                <w:sz w:val="28"/>
                <w:szCs w:val="28"/>
              </w:rPr>
              <w:t>评审因素</w:t>
            </w:r>
          </w:p>
        </w:tc>
        <w:tc>
          <w:tcPr>
            <w:tcW w:w="8362" w:type="dxa"/>
            <w:gridSpan w:val="2"/>
          </w:tcPr>
          <w:p w14:paraId="7F7A8FE4">
            <w:pPr>
              <w:jc w:val="center"/>
              <w:rPr>
                <w:sz w:val="28"/>
                <w:szCs w:val="28"/>
              </w:rPr>
            </w:pPr>
            <w:r>
              <w:rPr>
                <w:sz w:val="28"/>
                <w:szCs w:val="28"/>
              </w:rPr>
              <w:t>评审标准</w:t>
            </w:r>
          </w:p>
        </w:tc>
      </w:tr>
      <w:tr w14:paraId="03B026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tcPr>
          <w:p w14:paraId="0D1DAC9B">
            <w:pPr>
              <w:ind w:firstLine="0"/>
              <w:rPr>
                <w:sz w:val="28"/>
                <w:szCs w:val="28"/>
              </w:rPr>
            </w:pPr>
            <w:r>
              <w:rPr>
                <w:sz w:val="28"/>
                <w:szCs w:val="28"/>
              </w:rPr>
              <w:t>分值构成</w:t>
            </w:r>
          </w:p>
        </w:tc>
        <w:tc>
          <w:tcPr>
            <w:tcW w:w="8362" w:type="dxa"/>
            <w:gridSpan w:val="2"/>
          </w:tcPr>
          <w:p w14:paraId="1B509FB8">
            <w:pPr>
              <w:ind w:firstLine="0"/>
              <w:rPr>
                <w:sz w:val="28"/>
                <w:szCs w:val="28"/>
              </w:rPr>
            </w:pPr>
            <w:r>
              <w:rPr>
                <w:rFonts w:hint="eastAsia"/>
                <w:sz w:val="28"/>
                <w:szCs w:val="28"/>
              </w:rPr>
              <w:t>商务</w:t>
            </w:r>
            <w:r>
              <w:rPr>
                <w:sz w:val="28"/>
                <w:szCs w:val="28"/>
              </w:rPr>
              <w:t>部分</w:t>
            </w:r>
            <w:r>
              <w:rPr>
                <w:rFonts w:hint="eastAsia"/>
                <w:sz w:val="28"/>
                <w:szCs w:val="28"/>
              </w:rPr>
              <w:t>8</w:t>
            </w:r>
            <w:r>
              <w:rPr>
                <w:sz w:val="28"/>
                <w:szCs w:val="28"/>
              </w:rPr>
              <w:t>.0分</w:t>
            </w:r>
          </w:p>
          <w:p w14:paraId="78E9361A">
            <w:pPr>
              <w:ind w:firstLine="0"/>
              <w:rPr>
                <w:sz w:val="28"/>
                <w:szCs w:val="28"/>
              </w:rPr>
            </w:pPr>
            <w:r>
              <w:rPr>
                <w:rFonts w:hint="eastAsia"/>
                <w:sz w:val="28"/>
                <w:szCs w:val="28"/>
              </w:rPr>
              <w:t>技术</w:t>
            </w:r>
            <w:r>
              <w:rPr>
                <w:sz w:val="28"/>
                <w:szCs w:val="28"/>
              </w:rPr>
              <w:t>部分</w:t>
            </w:r>
            <w:r>
              <w:rPr>
                <w:rFonts w:hint="eastAsia"/>
                <w:sz w:val="28"/>
                <w:szCs w:val="28"/>
              </w:rPr>
              <w:t>62</w:t>
            </w:r>
            <w:r>
              <w:rPr>
                <w:sz w:val="28"/>
                <w:szCs w:val="28"/>
              </w:rPr>
              <w:t>.0分</w:t>
            </w:r>
          </w:p>
          <w:p w14:paraId="0ED732EE">
            <w:pPr>
              <w:ind w:firstLine="0"/>
              <w:rPr>
                <w:sz w:val="28"/>
                <w:szCs w:val="28"/>
              </w:rPr>
            </w:pPr>
            <w:r>
              <w:rPr>
                <w:sz w:val="28"/>
                <w:szCs w:val="28"/>
              </w:rPr>
              <w:t>报价得分</w:t>
            </w:r>
            <w:r>
              <w:rPr>
                <w:rFonts w:hint="eastAsia"/>
                <w:sz w:val="28"/>
                <w:szCs w:val="28"/>
              </w:rPr>
              <w:t>3</w:t>
            </w:r>
            <w:r>
              <w:rPr>
                <w:sz w:val="28"/>
                <w:szCs w:val="28"/>
              </w:rPr>
              <w:t>0.0分</w:t>
            </w:r>
          </w:p>
        </w:tc>
      </w:tr>
      <w:tr w14:paraId="3C368A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restart"/>
          </w:tcPr>
          <w:p w14:paraId="61458DCF">
            <w:pPr>
              <w:ind w:firstLine="0"/>
              <w:rPr>
                <w:sz w:val="28"/>
                <w:szCs w:val="28"/>
              </w:rPr>
            </w:pPr>
            <w:r>
              <w:rPr>
                <w:sz w:val="28"/>
                <w:szCs w:val="28"/>
              </w:rPr>
              <w:t>技术部分</w:t>
            </w:r>
          </w:p>
        </w:tc>
        <w:tc>
          <w:tcPr>
            <w:tcW w:w="2376" w:type="dxa"/>
          </w:tcPr>
          <w:p w14:paraId="4C77EDF2">
            <w:pPr>
              <w:ind w:firstLine="0"/>
              <w:jc w:val="left"/>
              <w:rPr>
                <w:sz w:val="28"/>
                <w:szCs w:val="28"/>
              </w:rPr>
            </w:pPr>
            <w:r>
              <w:rPr>
                <w:sz w:val="28"/>
                <w:szCs w:val="28"/>
              </w:rPr>
              <w:t>重要技术条款响应  (</w:t>
            </w:r>
            <w:r>
              <w:rPr>
                <w:rFonts w:hint="eastAsia"/>
                <w:sz w:val="28"/>
                <w:szCs w:val="28"/>
              </w:rPr>
              <w:t>2</w:t>
            </w:r>
            <w:r>
              <w:rPr>
                <w:rFonts w:hint="eastAsia"/>
                <w:sz w:val="28"/>
                <w:szCs w:val="28"/>
                <w:lang w:val="en-US" w:eastAsia="zh-CN"/>
              </w:rPr>
              <w:t>0</w:t>
            </w:r>
            <w:r>
              <w:rPr>
                <w:sz w:val="28"/>
                <w:szCs w:val="28"/>
              </w:rPr>
              <w:t>.0分)</w:t>
            </w:r>
          </w:p>
        </w:tc>
        <w:tc>
          <w:tcPr>
            <w:tcW w:w="5986" w:type="dxa"/>
          </w:tcPr>
          <w:p w14:paraId="4A0BEB17">
            <w:pPr>
              <w:ind w:firstLine="0"/>
              <w:rPr>
                <w:sz w:val="28"/>
                <w:szCs w:val="28"/>
              </w:rPr>
            </w:pPr>
            <w:r>
              <w:rPr>
                <w:sz w:val="28"/>
                <w:szCs w:val="28"/>
              </w:rPr>
              <w:t>根据各</w:t>
            </w:r>
            <w:r>
              <w:rPr>
                <w:rFonts w:hint="eastAsia"/>
                <w:sz w:val="28"/>
                <w:szCs w:val="28"/>
              </w:rPr>
              <w:t>投标人</w:t>
            </w:r>
            <w:r>
              <w:rPr>
                <w:sz w:val="28"/>
                <w:szCs w:val="28"/>
              </w:rPr>
              <w:t>对</w:t>
            </w:r>
            <w:r>
              <w:rPr>
                <w:rFonts w:hint="eastAsia"/>
                <w:sz w:val="28"/>
                <w:szCs w:val="28"/>
              </w:rPr>
              <w:t>招标</w:t>
            </w:r>
            <w:r>
              <w:rPr>
                <w:sz w:val="28"/>
                <w:szCs w:val="28"/>
              </w:rPr>
              <w:t>文件技术</w:t>
            </w:r>
            <w:r>
              <w:rPr>
                <w:rFonts w:hint="eastAsia"/>
                <w:sz w:val="28"/>
                <w:szCs w:val="28"/>
              </w:rPr>
              <w:t>参数</w:t>
            </w:r>
            <w:r>
              <w:rPr>
                <w:sz w:val="28"/>
                <w:szCs w:val="28"/>
              </w:rPr>
              <w:t>要求中</w:t>
            </w:r>
            <w:r>
              <w:rPr>
                <w:rFonts w:hint="eastAsia"/>
                <w:sz w:val="28"/>
                <w:szCs w:val="28"/>
              </w:rPr>
              <w:t>重要参数</w:t>
            </w:r>
            <w:r>
              <w:rPr>
                <w:sz w:val="28"/>
                <w:szCs w:val="28"/>
              </w:rPr>
              <w:t>“▲”条款</w:t>
            </w:r>
            <w:r>
              <w:rPr>
                <w:rFonts w:hint="eastAsia"/>
                <w:sz w:val="28"/>
                <w:szCs w:val="28"/>
              </w:rPr>
              <w:t>（共</w:t>
            </w:r>
            <w:r>
              <w:rPr>
                <w:rFonts w:hint="eastAsia"/>
                <w:sz w:val="28"/>
                <w:szCs w:val="28"/>
                <w:lang w:val="en-US" w:eastAsia="zh-CN"/>
              </w:rPr>
              <w:t>2</w:t>
            </w:r>
            <w:r>
              <w:rPr>
                <w:rFonts w:hint="eastAsia"/>
                <w:sz w:val="28"/>
                <w:szCs w:val="28"/>
              </w:rPr>
              <w:t>条）</w:t>
            </w:r>
            <w:r>
              <w:rPr>
                <w:sz w:val="28"/>
                <w:szCs w:val="28"/>
              </w:rPr>
              <w:t>的响应程度进行评分：全部响应得2</w:t>
            </w:r>
            <w:r>
              <w:rPr>
                <w:rFonts w:hint="eastAsia"/>
                <w:sz w:val="28"/>
                <w:szCs w:val="28"/>
                <w:lang w:val="en-US" w:eastAsia="zh-CN"/>
              </w:rPr>
              <w:t>0</w:t>
            </w:r>
            <w:r>
              <w:rPr>
                <w:sz w:val="28"/>
                <w:szCs w:val="28"/>
              </w:rPr>
              <w:t>分，每有一项不响应的扣</w:t>
            </w:r>
            <w:r>
              <w:rPr>
                <w:rFonts w:hint="eastAsia"/>
                <w:sz w:val="28"/>
                <w:szCs w:val="28"/>
                <w:lang w:val="en-US" w:eastAsia="zh-CN"/>
              </w:rPr>
              <w:t>10</w:t>
            </w:r>
            <w:r>
              <w:rPr>
                <w:sz w:val="28"/>
                <w:szCs w:val="28"/>
              </w:rPr>
              <w:t xml:space="preserve">分。 </w:t>
            </w:r>
          </w:p>
          <w:p w14:paraId="487CDFA1">
            <w:pPr>
              <w:ind w:firstLine="0"/>
              <w:rPr>
                <w:sz w:val="28"/>
                <w:szCs w:val="28"/>
              </w:rPr>
            </w:pPr>
            <w:r>
              <w:rPr>
                <w:sz w:val="28"/>
                <w:szCs w:val="28"/>
              </w:rPr>
              <w:t>【注：</w:t>
            </w:r>
            <w:r>
              <w:rPr>
                <w:rFonts w:hint="eastAsia"/>
                <w:sz w:val="28"/>
                <w:szCs w:val="28"/>
              </w:rPr>
              <w:t>投标人</w:t>
            </w:r>
            <w:r>
              <w:rPr>
                <w:sz w:val="28"/>
                <w:szCs w:val="28"/>
              </w:rPr>
              <w:t>应对重要技术条款逐条进行响应，并提供证明材料。如采购需求中有明确要求提供证明材料的，则以采购需求要求的为准；</w:t>
            </w:r>
            <w:r>
              <w:rPr>
                <w:rFonts w:hint="eastAsia"/>
                <w:b/>
                <w:bCs/>
                <w:sz w:val="28"/>
                <w:szCs w:val="28"/>
              </w:rPr>
              <w:t>如采购需求中无明确要求证明材料的，则证明材料以①产品说明书或</w:t>
            </w:r>
            <w:r>
              <w:rPr>
                <w:rFonts w:hint="eastAsia" w:ascii="宋体" w:hAnsi="宋体" w:eastAsia="宋体" w:cs="宋体"/>
                <w:b/>
                <w:bCs/>
                <w:sz w:val="28"/>
                <w:szCs w:val="28"/>
              </w:rPr>
              <w:t>②</w:t>
            </w:r>
            <w:r>
              <w:rPr>
                <w:rFonts w:hint="eastAsia"/>
                <w:b/>
                <w:bCs/>
                <w:sz w:val="28"/>
                <w:szCs w:val="28"/>
              </w:rPr>
              <w:t>厂家技术白皮书（如厂家的技术白皮书为英文版，请同时提供中文版） 。投标人需对证明材料中的技术参数响应内容所在位置进行圈记或明确标识。凡不符合上述要求的证明材料、证明材料模糊不清晰或未对证明材料中的技术参数响应内容所在位置进行圈记或明确标识，导致评审专家无法认定的，该标注重要技术条款将视为负偏离。</w:t>
            </w:r>
            <w:r>
              <w:rPr>
                <w:sz w:val="28"/>
                <w:szCs w:val="28"/>
              </w:rPr>
              <w:t>】</w:t>
            </w:r>
          </w:p>
        </w:tc>
      </w:tr>
      <w:tr w14:paraId="7B0365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continue"/>
          </w:tcPr>
          <w:p w14:paraId="4AB1FB56">
            <w:pPr>
              <w:jc w:val="center"/>
              <w:rPr>
                <w:sz w:val="28"/>
                <w:szCs w:val="28"/>
              </w:rPr>
            </w:pPr>
          </w:p>
        </w:tc>
        <w:tc>
          <w:tcPr>
            <w:tcW w:w="2376" w:type="dxa"/>
          </w:tcPr>
          <w:p w14:paraId="03EC3794">
            <w:pPr>
              <w:ind w:firstLine="0"/>
              <w:jc w:val="left"/>
              <w:rPr>
                <w:sz w:val="28"/>
                <w:szCs w:val="28"/>
              </w:rPr>
            </w:pPr>
            <w:r>
              <w:rPr>
                <w:sz w:val="28"/>
                <w:szCs w:val="28"/>
              </w:rPr>
              <w:t>一般技术条款响应 (1</w:t>
            </w:r>
            <w:r>
              <w:rPr>
                <w:rFonts w:hint="eastAsia"/>
                <w:sz w:val="28"/>
                <w:szCs w:val="28"/>
                <w:lang w:val="en-US" w:eastAsia="zh-CN"/>
              </w:rPr>
              <w:t>8</w:t>
            </w:r>
            <w:r>
              <w:rPr>
                <w:sz w:val="28"/>
                <w:szCs w:val="28"/>
              </w:rPr>
              <w:t>.0分)</w:t>
            </w:r>
          </w:p>
        </w:tc>
        <w:tc>
          <w:tcPr>
            <w:tcW w:w="5986" w:type="dxa"/>
          </w:tcPr>
          <w:p w14:paraId="2D32A8CE">
            <w:pPr>
              <w:ind w:firstLine="0"/>
              <w:jc w:val="left"/>
              <w:rPr>
                <w:sz w:val="28"/>
                <w:szCs w:val="28"/>
              </w:rPr>
            </w:pPr>
            <w:r>
              <w:rPr>
                <w:rFonts w:hint="eastAsia"/>
                <w:sz w:val="28"/>
                <w:szCs w:val="28"/>
              </w:rPr>
              <w:t>根据各投标人对招标文件技术参数要求中一般技术条款（共</w:t>
            </w:r>
            <w:r>
              <w:rPr>
                <w:rFonts w:hint="eastAsia"/>
                <w:sz w:val="28"/>
                <w:szCs w:val="28"/>
                <w:lang w:val="en-US" w:eastAsia="zh-CN"/>
              </w:rPr>
              <w:t>6</w:t>
            </w:r>
            <w:r>
              <w:rPr>
                <w:rFonts w:hint="eastAsia"/>
                <w:sz w:val="28"/>
                <w:szCs w:val="28"/>
              </w:rPr>
              <w:t>条）（非“▲”或“★”条款）的响应程度进行评分，全部响应得</w:t>
            </w:r>
            <w:r>
              <w:rPr>
                <w:rFonts w:hint="eastAsia"/>
                <w:sz w:val="28"/>
                <w:szCs w:val="28"/>
                <w:lang w:val="en-US" w:eastAsia="zh-CN"/>
              </w:rPr>
              <w:t>18</w:t>
            </w:r>
            <w:r>
              <w:rPr>
                <w:rFonts w:hint="eastAsia"/>
                <w:sz w:val="28"/>
                <w:szCs w:val="28"/>
              </w:rPr>
              <w:t>分，每有一项不响应的扣</w:t>
            </w:r>
            <w:r>
              <w:rPr>
                <w:rFonts w:hint="eastAsia"/>
                <w:sz w:val="28"/>
                <w:szCs w:val="28"/>
                <w:lang w:val="en-US" w:eastAsia="zh-CN"/>
              </w:rPr>
              <w:t>3</w:t>
            </w:r>
            <w:r>
              <w:rPr>
                <w:rFonts w:hint="eastAsia"/>
                <w:sz w:val="28"/>
                <w:szCs w:val="28"/>
              </w:rPr>
              <w:t xml:space="preserve">分。 </w:t>
            </w:r>
          </w:p>
          <w:p w14:paraId="38AECC9F">
            <w:pPr>
              <w:ind w:firstLine="0"/>
              <w:jc w:val="left"/>
            </w:pPr>
            <w:r>
              <w:rPr>
                <w:sz w:val="28"/>
                <w:szCs w:val="28"/>
              </w:rPr>
              <w:t>【注：</w:t>
            </w:r>
            <w:r>
              <w:rPr>
                <w:rFonts w:hint="eastAsia"/>
                <w:sz w:val="28"/>
                <w:szCs w:val="28"/>
              </w:rPr>
              <w:t>投标人</w:t>
            </w:r>
            <w:r>
              <w:rPr>
                <w:sz w:val="28"/>
                <w:szCs w:val="28"/>
              </w:rPr>
              <w:t>应对</w:t>
            </w:r>
            <w:r>
              <w:rPr>
                <w:rFonts w:hint="eastAsia"/>
                <w:sz w:val="28"/>
                <w:szCs w:val="28"/>
              </w:rPr>
              <w:t>一般</w:t>
            </w:r>
            <w:r>
              <w:rPr>
                <w:sz w:val="28"/>
                <w:szCs w:val="28"/>
              </w:rPr>
              <w:t>技术条款逐条进行响应，并提供证明材料。如采购需求中有明确要求提供证明材料的，则以采购需求要求的为准；</w:t>
            </w:r>
            <w:r>
              <w:rPr>
                <w:rFonts w:hint="eastAsia"/>
                <w:b/>
                <w:bCs/>
                <w:sz w:val="28"/>
                <w:szCs w:val="28"/>
              </w:rPr>
              <w:t>如采购需求中无明确要求证明材料的，则证明材料以①产品说明书或</w:t>
            </w:r>
            <w:r>
              <w:rPr>
                <w:rFonts w:hint="eastAsia" w:ascii="宋体" w:hAnsi="宋体" w:eastAsia="宋体" w:cs="宋体"/>
                <w:b/>
                <w:bCs/>
                <w:sz w:val="28"/>
                <w:szCs w:val="28"/>
              </w:rPr>
              <w:t>②</w:t>
            </w:r>
            <w:r>
              <w:rPr>
                <w:rFonts w:hint="eastAsia"/>
                <w:b/>
                <w:bCs/>
                <w:sz w:val="28"/>
                <w:szCs w:val="28"/>
              </w:rPr>
              <w:t>厂家技术白皮书（如厂家的技术白皮书为英文版，请同时提供中文版）</w:t>
            </w:r>
            <w:r>
              <w:rPr>
                <w:b/>
                <w:bCs/>
                <w:sz w:val="28"/>
                <w:szCs w:val="28"/>
              </w:rPr>
              <w:t xml:space="preserve"> </w:t>
            </w:r>
            <w:r>
              <w:rPr>
                <w:rFonts w:hint="eastAsia"/>
                <w:b/>
                <w:bCs/>
                <w:sz w:val="28"/>
                <w:szCs w:val="28"/>
              </w:rPr>
              <w:t>。投标人需对证明材料中的技术参数响应内容所在位置进行圈记或明确标识。凡不符合上述要求的证明材料、证明材料模糊不清晰或未对证明材料中的技术参数响应内容所在位置进行圈记或明确标识，导致评审专家无法认定的，该一般技术条款将视为负偏离。</w:t>
            </w:r>
            <w:r>
              <w:rPr>
                <w:sz w:val="28"/>
                <w:szCs w:val="28"/>
              </w:rPr>
              <w:t>】</w:t>
            </w:r>
          </w:p>
        </w:tc>
      </w:tr>
      <w:tr w14:paraId="2789DC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continue"/>
          </w:tcPr>
          <w:p w14:paraId="15FD3CCB">
            <w:pPr>
              <w:jc w:val="center"/>
              <w:rPr>
                <w:sz w:val="28"/>
                <w:szCs w:val="28"/>
              </w:rPr>
            </w:pPr>
          </w:p>
        </w:tc>
        <w:tc>
          <w:tcPr>
            <w:tcW w:w="2376" w:type="dxa"/>
          </w:tcPr>
          <w:p w14:paraId="1B2CA60F">
            <w:pPr>
              <w:ind w:firstLine="0"/>
              <w:jc w:val="left"/>
              <w:rPr>
                <w:sz w:val="28"/>
                <w:szCs w:val="28"/>
              </w:rPr>
            </w:pPr>
            <w:r>
              <w:rPr>
                <w:rFonts w:hint="eastAsia" w:ascii="仿宋" w:hAnsi="仿宋" w:eastAsia="仿宋"/>
                <w:sz w:val="28"/>
                <w:szCs w:val="28"/>
              </w:rPr>
              <w:t>安装与调试方案（</w:t>
            </w:r>
            <w:r>
              <w:rPr>
                <w:rFonts w:ascii="仿宋" w:hAnsi="仿宋" w:eastAsia="仿宋"/>
                <w:sz w:val="28"/>
                <w:szCs w:val="28"/>
              </w:rPr>
              <w:t>8</w:t>
            </w:r>
            <w:r>
              <w:rPr>
                <w:rFonts w:hint="eastAsia" w:ascii="仿宋" w:hAnsi="仿宋" w:eastAsia="仿宋"/>
                <w:sz w:val="28"/>
                <w:szCs w:val="28"/>
              </w:rPr>
              <w:t>.</w:t>
            </w:r>
            <w:r>
              <w:rPr>
                <w:rFonts w:ascii="仿宋" w:hAnsi="仿宋" w:eastAsia="仿宋"/>
                <w:sz w:val="28"/>
                <w:szCs w:val="28"/>
              </w:rPr>
              <w:t>0</w:t>
            </w:r>
            <w:r>
              <w:rPr>
                <w:rFonts w:hint="eastAsia" w:ascii="仿宋" w:hAnsi="仿宋" w:eastAsia="仿宋"/>
                <w:sz w:val="28"/>
                <w:szCs w:val="28"/>
              </w:rPr>
              <w:t>分）</w:t>
            </w:r>
          </w:p>
        </w:tc>
        <w:tc>
          <w:tcPr>
            <w:tcW w:w="5986" w:type="dxa"/>
          </w:tcPr>
          <w:p w14:paraId="41A1F24D">
            <w:pPr>
              <w:ind w:firstLine="0"/>
              <w:rPr>
                <w:rFonts w:ascii="仿宋" w:hAnsi="仿宋" w:eastAsia="仿宋"/>
                <w:sz w:val="28"/>
                <w:szCs w:val="28"/>
              </w:rPr>
            </w:pPr>
            <w:r>
              <w:rPr>
                <w:rFonts w:hint="eastAsia" w:ascii="仿宋" w:hAnsi="仿宋" w:eastAsia="仿宋"/>
                <w:sz w:val="28"/>
                <w:szCs w:val="28"/>
              </w:rPr>
              <w:t>根据投标人提供的安装与调试方案（包括但不限于：①安装与调试的方案；②安装与调试的人员安排；③调试场地内的货物、设施的保护措施）进行评审：</w:t>
            </w:r>
          </w:p>
          <w:p w14:paraId="172BC01B">
            <w:pPr>
              <w:ind w:firstLine="0"/>
              <w:rPr>
                <w:rFonts w:ascii="仿宋" w:hAnsi="仿宋" w:eastAsia="仿宋"/>
                <w:sz w:val="28"/>
                <w:szCs w:val="28"/>
              </w:rPr>
            </w:pPr>
            <w:r>
              <w:rPr>
                <w:rFonts w:hint="eastAsia" w:ascii="仿宋" w:hAnsi="仿宋" w:eastAsia="仿宋"/>
                <w:sz w:val="28"/>
                <w:szCs w:val="28"/>
              </w:rPr>
              <w:t>（1）安装与调试方案完整详细、有针对性性，有明确的步骤和分工，能提供各项货物的安装调试计划安排表，体现专业性、及时性，能根据货物交付时间节点落实安装调试时间及相关人员安排，对安装调试场地的货物、设施有提出良好的保护措施和合理化建议，完全满足或优于采购需求，得</w:t>
            </w:r>
            <w:r>
              <w:rPr>
                <w:rFonts w:ascii="仿宋" w:hAnsi="仿宋" w:eastAsia="仿宋"/>
                <w:sz w:val="28"/>
                <w:szCs w:val="28"/>
              </w:rPr>
              <w:t>8</w:t>
            </w:r>
            <w:r>
              <w:rPr>
                <w:rFonts w:hint="eastAsia" w:ascii="仿宋" w:hAnsi="仿宋" w:eastAsia="仿宋"/>
                <w:sz w:val="28"/>
                <w:szCs w:val="28"/>
              </w:rPr>
              <w:t>分；</w:t>
            </w:r>
          </w:p>
          <w:p w14:paraId="1E081BCF">
            <w:pPr>
              <w:ind w:firstLine="0"/>
              <w:rPr>
                <w:rFonts w:ascii="仿宋" w:hAnsi="仿宋" w:eastAsia="仿宋"/>
                <w:sz w:val="28"/>
                <w:szCs w:val="28"/>
              </w:rPr>
            </w:pPr>
            <w:r>
              <w:rPr>
                <w:rFonts w:hint="eastAsia" w:ascii="仿宋" w:hAnsi="仿宋" w:eastAsia="仿宋"/>
                <w:sz w:val="28"/>
                <w:szCs w:val="28"/>
              </w:rPr>
              <w:t>（2）安装与调试服务计划完整，详细性和针对性有所欠缺，有明确的步骤和分工，能提供各项货物的详细安装调试计划安排表，能根据货物交付时间节点落实人员安排，有提出对安装调试场地的货物、设施的保护措施，部分满足采购需求，得</w:t>
            </w:r>
            <w:r>
              <w:rPr>
                <w:rFonts w:hint="eastAsia" w:ascii="仿宋" w:hAnsi="仿宋" w:eastAsia="仿宋"/>
                <w:sz w:val="28"/>
                <w:szCs w:val="28"/>
                <w:lang w:val="en-US" w:eastAsia="zh-CN"/>
              </w:rPr>
              <w:t>5</w:t>
            </w:r>
            <w:r>
              <w:rPr>
                <w:rFonts w:hint="eastAsia" w:ascii="仿宋" w:hAnsi="仿宋" w:eastAsia="仿宋"/>
                <w:sz w:val="28"/>
                <w:szCs w:val="28"/>
              </w:rPr>
              <w:t>分；</w:t>
            </w:r>
          </w:p>
          <w:p w14:paraId="6C87A8D7">
            <w:pPr>
              <w:ind w:firstLine="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3</w:t>
            </w:r>
            <w:r>
              <w:rPr>
                <w:rFonts w:hint="eastAsia" w:ascii="仿宋" w:hAnsi="仿宋" w:eastAsia="仿宋"/>
                <w:sz w:val="28"/>
                <w:szCs w:val="28"/>
              </w:rPr>
              <w:t>）安装与调试服务计划不完整，无针对性，或无法提供各项货物的安装调试计划安排表，或未列明相关人员的安排，或缺乏对安装调试场地的货物、设施的保护措施，得</w:t>
            </w:r>
            <w:r>
              <w:rPr>
                <w:rFonts w:ascii="仿宋" w:hAnsi="仿宋" w:eastAsia="仿宋"/>
                <w:sz w:val="28"/>
                <w:szCs w:val="28"/>
              </w:rPr>
              <w:t>2</w:t>
            </w:r>
            <w:r>
              <w:rPr>
                <w:rFonts w:hint="eastAsia" w:ascii="仿宋" w:hAnsi="仿宋" w:eastAsia="仿宋"/>
                <w:sz w:val="28"/>
                <w:szCs w:val="28"/>
              </w:rPr>
              <w:t>分。</w:t>
            </w:r>
          </w:p>
          <w:p w14:paraId="26598DCF">
            <w:pPr>
              <w:ind w:firstLine="0"/>
              <w:jc w:val="left"/>
              <w:rPr>
                <w:sz w:val="28"/>
                <w:szCs w:val="28"/>
              </w:rPr>
            </w:pPr>
            <w:r>
              <w:rPr>
                <w:rFonts w:hint="eastAsia" w:ascii="仿宋" w:hAnsi="仿宋" w:eastAsia="仿宋"/>
                <w:sz w:val="28"/>
                <w:szCs w:val="28"/>
              </w:rPr>
              <w:t>（</w:t>
            </w:r>
            <w:r>
              <w:rPr>
                <w:rFonts w:ascii="仿宋" w:hAnsi="仿宋" w:eastAsia="仿宋"/>
                <w:sz w:val="28"/>
                <w:szCs w:val="28"/>
              </w:rPr>
              <w:t>4</w:t>
            </w:r>
            <w:r>
              <w:rPr>
                <w:rFonts w:hint="eastAsia" w:ascii="仿宋" w:hAnsi="仿宋" w:eastAsia="仿宋"/>
                <w:sz w:val="28"/>
                <w:szCs w:val="28"/>
              </w:rPr>
              <w:t>）不提供的不得分。</w:t>
            </w:r>
          </w:p>
        </w:tc>
      </w:tr>
      <w:tr w14:paraId="14CE8A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continue"/>
          </w:tcPr>
          <w:p w14:paraId="0ADE9568">
            <w:pPr>
              <w:jc w:val="center"/>
              <w:rPr>
                <w:sz w:val="28"/>
                <w:szCs w:val="28"/>
              </w:rPr>
            </w:pPr>
          </w:p>
        </w:tc>
        <w:tc>
          <w:tcPr>
            <w:tcW w:w="2376" w:type="dxa"/>
          </w:tcPr>
          <w:p w14:paraId="3BBCFEAA">
            <w:pPr>
              <w:ind w:firstLine="0"/>
              <w:jc w:val="left"/>
              <w:rPr>
                <w:rFonts w:ascii="仿宋" w:hAnsi="仿宋" w:eastAsia="仿宋"/>
                <w:sz w:val="28"/>
                <w:szCs w:val="28"/>
              </w:rPr>
            </w:pPr>
            <w:r>
              <w:rPr>
                <w:rFonts w:ascii="仿宋" w:hAnsi="仿宋" w:eastAsia="仿宋"/>
                <w:sz w:val="28"/>
                <w:szCs w:val="28"/>
              </w:rPr>
              <w:t>售后服务方案 (8.0分)</w:t>
            </w:r>
          </w:p>
        </w:tc>
        <w:tc>
          <w:tcPr>
            <w:tcW w:w="5986" w:type="dxa"/>
          </w:tcPr>
          <w:p w14:paraId="6B0826D3">
            <w:pPr>
              <w:ind w:firstLine="0"/>
              <w:jc w:val="left"/>
              <w:rPr>
                <w:rFonts w:ascii="仿宋" w:hAnsi="仿宋" w:eastAsia="仿宋"/>
                <w:sz w:val="28"/>
                <w:szCs w:val="28"/>
              </w:rPr>
            </w:pPr>
            <w:r>
              <w:rPr>
                <w:rFonts w:hint="eastAsia" w:ascii="仿宋" w:hAnsi="仿宋" w:eastAsia="仿宋"/>
                <w:sz w:val="28"/>
                <w:szCs w:val="28"/>
              </w:rPr>
              <w:t>根据投标人提供的售后服务方案（包括但不限于：①投标人上门保修服务计划②产品退换货方案③配件的更换、维修及供货、④</w:t>
            </w:r>
            <w:r>
              <w:rPr>
                <w:rFonts w:ascii="仿宋" w:hAnsi="仿宋" w:eastAsia="仿宋"/>
                <w:sz w:val="28"/>
                <w:szCs w:val="28"/>
              </w:rPr>
              <w:t>响应时间的及时性</w:t>
            </w:r>
            <w:r>
              <w:rPr>
                <w:rFonts w:hint="eastAsia" w:ascii="仿宋" w:hAnsi="仿宋" w:eastAsia="仿宋"/>
                <w:sz w:val="28"/>
                <w:szCs w:val="28"/>
              </w:rPr>
              <w:t>、⑤</w:t>
            </w:r>
            <w:r>
              <w:rPr>
                <w:rFonts w:ascii="仿宋" w:hAnsi="仿宋" w:eastAsia="仿宋"/>
                <w:sz w:val="28"/>
                <w:szCs w:val="28"/>
              </w:rPr>
              <w:t>售后服务人员（专人跟进、服务沟通等）的安排</w:t>
            </w:r>
            <w:r>
              <w:rPr>
                <w:rFonts w:hint="eastAsia" w:ascii="仿宋" w:hAnsi="仿宋" w:eastAsia="仿宋"/>
                <w:sz w:val="28"/>
                <w:szCs w:val="28"/>
              </w:rPr>
              <w:t>。）进行评审：</w:t>
            </w:r>
          </w:p>
          <w:p w14:paraId="5C110895">
            <w:pPr>
              <w:pStyle w:val="2"/>
              <w:numPr>
                <w:ilvl w:val="0"/>
                <w:numId w:val="2"/>
              </w:numPr>
              <w:ind w:firstLine="0"/>
              <w:rPr>
                <w:lang w:eastAsia="zh-CN"/>
              </w:rPr>
            </w:pPr>
            <w:r>
              <w:rPr>
                <w:rFonts w:hint="eastAsia" w:ascii="仿宋" w:hAnsi="仿宋" w:eastAsia="仿宋"/>
                <w:bCs w:val="0"/>
                <w:spacing w:val="0"/>
                <w:sz w:val="28"/>
                <w:szCs w:val="28"/>
                <w:lang w:eastAsia="zh-CN"/>
              </w:rPr>
              <w:t>保修服务计划的初步安排完整详细、有针对性，可提供投标人上门保修服务，针对产品及其配件的退换货、维修有详细的应对措施及相应的解决方案，配件（或部件或零部件）的供货充足、及时，有专人提供售后服务，人员组织架构完善、专业技术力量投入充分、技术人员组织安排及跟进处理流程详细，</w:t>
            </w:r>
            <w:r>
              <w:rPr>
                <w:rFonts w:ascii="仿宋" w:hAnsi="仿宋" w:eastAsia="仿宋"/>
                <w:bCs w:val="0"/>
                <w:spacing w:val="0"/>
                <w:sz w:val="28"/>
                <w:szCs w:val="28"/>
                <w:lang w:eastAsia="zh-CN"/>
              </w:rPr>
              <w:t>对日常维修和应急情况响应及时，到达时间</w:t>
            </w:r>
            <w:r>
              <w:rPr>
                <w:rFonts w:hint="eastAsia" w:ascii="仿宋" w:hAnsi="仿宋" w:eastAsia="仿宋"/>
                <w:bCs w:val="0"/>
                <w:spacing w:val="0"/>
                <w:sz w:val="28"/>
                <w:szCs w:val="28"/>
                <w:lang w:eastAsia="zh-CN"/>
              </w:rPr>
              <w:t>在8</w:t>
            </w:r>
            <w:r>
              <w:rPr>
                <w:rFonts w:ascii="仿宋" w:hAnsi="仿宋" w:eastAsia="仿宋"/>
                <w:bCs w:val="0"/>
                <w:spacing w:val="0"/>
                <w:sz w:val="28"/>
                <w:szCs w:val="28"/>
                <w:lang w:eastAsia="zh-CN"/>
              </w:rPr>
              <w:t>小时</w:t>
            </w:r>
            <w:r>
              <w:rPr>
                <w:rFonts w:hint="eastAsia" w:ascii="仿宋" w:hAnsi="仿宋" w:eastAsia="仿宋"/>
                <w:bCs w:val="0"/>
                <w:spacing w:val="0"/>
                <w:sz w:val="28"/>
                <w:szCs w:val="28"/>
                <w:lang w:eastAsia="zh-CN"/>
              </w:rPr>
              <w:t>内，完全满足或优于采购需求，得</w:t>
            </w:r>
            <w:r>
              <w:rPr>
                <w:rFonts w:ascii="仿宋" w:hAnsi="仿宋" w:eastAsia="仿宋"/>
                <w:bCs w:val="0"/>
                <w:spacing w:val="0"/>
                <w:sz w:val="28"/>
                <w:szCs w:val="28"/>
                <w:lang w:eastAsia="zh-CN"/>
              </w:rPr>
              <w:t>8</w:t>
            </w:r>
            <w:r>
              <w:rPr>
                <w:rFonts w:hint="eastAsia" w:ascii="仿宋" w:hAnsi="仿宋" w:eastAsia="仿宋"/>
                <w:bCs w:val="0"/>
                <w:spacing w:val="0"/>
                <w:sz w:val="28"/>
                <w:szCs w:val="28"/>
                <w:lang w:eastAsia="zh-CN"/>
              </w:rPr>
              <w:t>分；</w:t>
            </w:r>
          </w:p>
          <w:p w14:paraId="7B5B5D2E">
            <w:pPr>
              <w:pStyle w:val="2"/>
              <w:numPr>
                <w:ilvl w:val="0"/>
                <w:numId w:val="2"/>
              </w:numPr>
              <w:ind w:firstLine="0"/>
              <w:rPr>
                <w:rFonts w:ascii="仿宋" w:hAnsi="仿宋" w:eastAsia="仿宋"/>
                <w:bCs w:val="0"/>
                <w:spacing w:val="0"/>
                <w:sz w:val="28"/>
                <w:szCs w:val="28"/>
                <w:lang w:eastAsia="zh-CN"/>
              </w:rPr>
            </w:pPr>
            <w:r>
              <w:rPr>
                <w:rFonts w:hint="eastAsia" w:ascii="仿宋" w:hAnsi="仿宋" w:eastAsia="仿宋"/>
                <w:bCs w:val="0"/>
                <w:spacing w:val="0"/>
                <w:sz w:val="28"/>
                <w:szCs w:val="28"/>
                <w:lang w:eastAsia="zh-CN"/>
              </w:rPr>
              <w:t>保修服务计划的初步安排完整，可提供投标人上门保修服务，以及为采购人提供配件（或部件或零部件）的更换、维修及供货，同时有专人提供售后服务，但售后服务人员的技术力量投入不够充分，售后服务的整体方案的详细性和针对性有所欠缺，</w:t>
            </w:r>
            <w:r>
              <w:rPr>
                <w:rFonts w:ascii="仿宋" w:hAnsi="仿宋" w:eastAsia="仿宋"/>
                <w:bCs w:val="0"/>
                <w:spacing w:val="0"/>
                <w:sz w:val="28"/>
                <w:szCs w:val="28"/>
                <w:lang w:eastAsia="zh-CN"/>
              </w:rPr>
              <w:t>对日常维修和应急情况响应及时，到达时间</w:t>
            </w:r>
            <w:r>
              <w:rPr>
                <w:rFonts w:hint="eastAsia" w:ascii="仿宋" w:hAnsi="仿宋" w:eastAsia="仿宋"/>
                <w:bCs w:val="0"/>
                <w:spacing w:val="0"/>
                <w:sz w:val="28"/>
                <w:szCs w:val="28"/>
                <w:lang w:eastAsia="zh-CN"/>
              </w:rPr>
              <w:t>在8</w:t>
            </w:r>
            <w:r>
              <w:rPr>
                <w:rFonts w:ascii="仿宋" w:hAnsi="仿宋" w:eastAsia="仿宋"/>
                <w:bCs w:val="0"/>
                <w:spacing w:val="0"/>
                <w:sz w:val="28"/>
                <w:szCs w:val="28"/>
                <w:lang w:eastAsia="zh-CN"/>
              </w:rPr>
              <w:t>-10</w:t>
            </w:r>
            <w:r>
              <w:rPr>
                <w:rFonts w:hint="eastAsia" w:ascii="仿宋" w:hAnsi="仿宋" w:eastAsia="仿宋"/>
                <w:bCs w:val="0"/>
                <w:spacing w:val="0"/>
                <w:sz w:val="28"/>
                <w:szCs w:val="28"/>
                <w:lang w:eastAsia="zh-CN"/>
              </w:rPr>
              <w:t>小时内，部分满足采购需求，得</w:t>
            </w:r>
            <w:r>
              <w:rPr>
                <w:rFonts w:hint="eastAsia" w:ascii="仿宋" w:hAnsi="仿宋" w:eastAsia="仿宋"/>
                <w:bCs w:val="0"/>
                <w:spacing w:val="0"/>
                <w:sz w:val="28"/>
                <w:szCs w:val="28"/>
                <w:lang w:val="en-US" w:eastAsia="zh-CN"/>
              </w:rPr>
              <w:t>5</w:t>
            </w:r>
            <w:r>
              <w:rPr>
                <w:rFonts w:hint="eastAsia" w:ascii="仿宋" w:hAnsi="仿宋" w:eastAsia="仿宋"/>
                <w:bCs w:val="0"/>
                <w:spacing w:val="0"/>
                <w:sz w:val="28"/>
                <w:szCs w:val="28"/>
                <w:lang w:eastAsia="zh-CN"/>
              </w:rPr>
              <w:t>分；</w:t>
            </w:r>
          </w:p>
          <w:p w14:paraId="3EBAEE3E">
            <w:pPr>
              <w:pStyle w:val="2"/>
              <w:numPr>
                <w:ilvl w:val="0"/>
                <w:numId w:val="2"/>
              </w:numPr>
              <w:ind w:firstLine="0"/>
              <w:rPr>
                <w:rFonts w:ascii="仿宋" w:hAnsi="仿宋" w:eastAsia="仿宋"/>
                <w:bCs w:val="0"/>
                <w:spacing w:val="0"/>
                <w:sz w:val="28"/>
                <w:szCs w:val="28"/>
                <w:lang w:eastAsia="zh-CN"/>
              </w:rPr>
            </w:pPr>
            <w:r>
              <w:rPr>
                <w:rFonts w:hint="eastAsia" w:ascii="仿宋" w:hAnsi="仿宋" w:eastAsia="仿宋"/>
                <w:bCs w:val="0"/>
                <w:spacing w:val="0"/>
                <w:sz w:val="28"/>
                <w:szCs w:val="28"/>
                <w:lang w:eastAsia="zh-CN"/>
              </w:rPr>
              <w:t>保修服务计划的初步安排不完整，或无法提供投标人上门保修服务，产品及其配件的退换货、维修方案有所缺漏，或配件（或部件或零部件）的供货不充足，或未配置专人提供售后服务，或售后服务的整体方案简单、无针对性，</w:t>
            </w:r>
            <w:r>
              <w:rPr>
                <w:rFonts w:ascii="仿宋" w:hAnsi="仿宋" w:eastAsia="仿宋"/>
                <w:bCs w:val="0"/>
                <w:spacing w:val="0"/>
                <w:sz w:val="28"/>
                <w:szCs w:val="28"/>
                <w:lang w:eastAsia="zh-CN"/>
              </w:rPr>
              <w:t>对日常维修和应急情况响应及时，到达时间</w:t>
            </w:r>
            <w:r>
              <w:rPr>
                <w:rFonts w:hint="eastAsia" w:ascii="仿宋" w:hAnsi="仿宋" w:eastAsia="仿宋"/>
                <w:bCs w:val="0"/>
                <w:spacing w:val="0"/>
                <w:sz w:val="28"/>
                <w:szCs w:val="28"/>
                <w:lang w:eastAsia="zh-CN"/>
              </w:rPr>
              <w:t>超过1</w:t>
            </w:r>
            <w:r>
              <w:rPr>
                <w:rFonts w:ascii="仿宋" w:hAnsi="仿宋" w:eastAsia="仿宋"/>
                <w:bCs w:val="0"/>
                <w:spacing w:val="0"/>
                <w:sz w:val="28"/>
                <w:szCs w:val="28"/>
                <w:lang w:eastAsia="zh-CN"/>
              </w:rPr>
              <w:t>0</w:t>
            </w:r>
            <w:r>
              <w:rPr>
                <w:rFonts w:hint="eastAsia" w:ascii="仿宋" w:hAnsi="仿宋" w:eastAsia="仿宋"/>
                <w:bCs w:val="0"/>
                <w:spacing w:val="0"/>
                <w:sz w:val="28"/>
                <w:szCs w:val="28"/>
                <w:lang w:eastAsia="zh-CN"/>
              </w:rPr>
              <w:t>小时的，得</w:t>
            </w:r>
            <w:r>
              <w:rPr>
                <w:rFonts w:ascii="仿宋" w:hAnsi="仿宋" w:eastAsia="仿宋"/>
                <w:bCs w:val="0"/>
                <w:spacing w:val="0"/>
                <w:sz w:val="28"/>
                <w:szCs w:val="28"/>
                <w:lang w:eastAsia="zh-CN"/>
              </w:rPr>
              <w:t>2</w:t>
            </w:r>
            <w:r>
              <w:rPr>
                <w:rFonts w:hint="eastAsia" w:ascii="仿宋" w:hAnsi="仿宋" w:eastAsia="仿宋"/>
                <w:bCs w:val="0"/>
                <w:spacing w:val="0"/>
                <w:sz w:val="28"/>
                <w:szCs w:val="28"/>
                <w:lang w:eastAsia="zh-CN"/>
              </w:rPr>
              <w:t>分</w:t>
            </w:r>
          </w:p>
          <w:p w14:paraId="49FBD757">
            <w:pPr>
              <w:pStyle w:val="2"/>
              <w:ind w:firstLine="0"/>
              <w:rPr>
                <w:sz w:val="28"/>
                <w:szCs w:val="28"/>
              </w:rPr>
            </w:pPr>
            <w:r>
              <w:rPr>
                <w:rFonts w:hint="eastAsia" w:ascii="仿宋" w:hAnsi="仿宋" w:eastAsia="仿宋"/>
                <w:sz w:val="28"/>
                <w:szCs w:val="28"/>
              </w:rPr>
              <w:t>（</w:t>
            </w:r>
            <w:r>
              <w:rPr>
                <w:rFonts w:ascii="仿宋" w:hAnsi="仿宋" w:eastAsia="仿宋"/>
                <w:sz w:val="28"/>
                <w:szCs w:val="28"/>
              </w:rPr>
              <w:t>4</w:t>
            </w:r>
            <w:r>
              <w:rPr>
                <w:rFonts w:hint="eastAsia" w:ascii="仿宋" w:hAnsi="仿宋" w:eastAsia="仿宋"/>
                <w:sz w:val="28"/>
                <w:szCs w:val="28"/>
              </w:rPr>
              <w:t>）不提供的不得分。</w:t>
            </w:r>
          </w:p>
        </w:tc>
      </w:tr>
      <w:tr w14:paraId="30E2D7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tcPr>
          <w:p w14:paraId="21215BDB">
            <w:pPr>
              <w:jc w:val="center"/>
              <w:rPr>
                <w:sz w:val="28"/>
                <w:szCs w:val="28"/>
              </w:rPr>
            </w:pPr>
          </w:p>
        </w:tc>
        <w:tc>
          <w:tcPr>
            <w:tcW w:w="2376" w:type="dxa"/>
          </w:tcPr>
          <w:p w14:paraId="055C358D">
            <w:pPr>
              <w:ind w:firstLine="0"/>
              <w:jc w:val="left"/>
              <w:rPr>
                <w:rFonts w:hint="eastAsia" w:ascii="仿宋" w:hAnsi="仿宋" w:eastAsia="仿宋"/>
                <w:sz w:val="28"/>
                <w:szCs w:val="28"/>
              </w:rPr>
            </w:pPr>
            <w:r>
              <w:rPr>
                <w:rFonts w:hint="eastAsia" w:ascii="仿宋" w:hAnsi="仿宋" w:eastAsia="仿宋"/>
                <w:sz w:val="28"/>
                <w:szCs w:val="28"/>
              </w:rPr>
              <w:t>培训</w:t>
            </w:r>
            <w:r>
              <w:rPr>
                <w:rFonts w:ascii="仿宋" w:hAnsi="仿宋" w:eastAsia="仿宋"/>
                <w:sz w:val="28"/>
                <w:szCs w:val="28"/>
              </w:rPr>
              <w:t>方案</w:t>
            </w:r>
            <w:r>
              <w:rPr>
                <w:rFonts w:hint="eastAsia" w:ascii="仿宋" w:hAnsi="仿宋" w:eastAsia="仿宋"/>
                <w:sz w:val="28"/>
                <w:szCs w:val="28"/>
              </w:rPr>
              <w:t>（</w:t>
            </w:r>
            <w:r>
              <w:rPr>
                <w:rFonts w:hint="eastAsia" w:ascii="仿宋" w:hAnsi="仿宋" w:eastAsia="仿宋"/>
                <w:sz w:val="28"/>
                <w:szCs w:val="28"/>
                <w:lang w:val="en-US" w:eastAsia="zh-CN"/>
              </w:rPr>
              <w:t>8</w:t>
            </w:r>
            <w:r>
              <w:rPr>
                <w:rFonts w:hint="eastAsia" w:ascii="仿宋" w:hAnsi="仿宋" w:eastAsia="仿宋"/>
                <w:sz w:val="28"/>
                <w:szCs w:val="28"/>
              </w:rPr>
              <w:t>.0分）</w:t>
            </w:r>
          </w:p>
        </w:tc>
        <w:tc>
          <w:tcPr>
            <w:tcW w:w="5986" w:type="dxa"/>
          </w:tcPr>
          <w:p w14:paraId="0D9B558B">
            <w:pPr>
              <w:pStyle w:val="30"/>
              <w:rPr>
                <w:rFonts w:hint="default" w:ascii="仿宋" w:hAnsi="仿宋" w:eastAsia="仿宋" w:cs="仿宋"/>
                <w:sz w:val="28"/>
                <w:szCs w:val="28"/>
              </w:rPr>
            </w:pPr>
            <w:r>
              <w:rPr>
                <w:rFonts w:ascii="仿宋" w:hAnsi="仿宋" w:eastAsia="仿宋" w:cs="仿宋"/>
                <w:sz w:val="28"/>
                <w:szCs w:val="28"/>
              </w:rPr>
              <w:t>根据投标人针对本项目提供的培训方案进行评审（包括但不限于：①培训目标制定与落实措施、②</w:t>
            </w:r>
            <w:r>
              <w:rPr>
                <w:rFonts w:ascii="仿宋" w:hAnsi="仿宋" w:eastAsia="仿宋" w:cs="仿宋"/>
                <w:sz w:val="28"/>
                <w:szCs w:val="28"/>
                <w:lang w:eastAsia="zh-CN"/>
              </w:rPr>
              <w:t>培训人员安排</w:t>
            </w:r>
            <w:r>
              <w:rPr>
                <w:rFonts w:ascii="仿宋" w:hAnsi="仿宋" w:eastAsia="仿宋" w:cs="仿宋"/>
                <w:sz w:val="28"/>
                <w:szCs w:val="28"/>
              </w:rPr>
              <w:t>、③结合本项目培训内容与计划制定及完善措施等）：</w:t>
            </w:r>
          </w:p>
          <w:p w14:paraId="29B6ED7A">
            <w:pPr>
              <w:pStyle w:val="30"/>
              <w:numPr>
                <w:ilvl w:val="255"/>
                <w:numId w:val="0"/>
              </w:numPr>
              <w:rPr>
                <w:rFonts w:hint="default" w:ascii="仿宋" w:hAnsi="仿宋" w:eastAsia="仿宋" w:cs="仿宋"/>
                <w:sz w:val="28"/>
                <w:szCs w:val="28"/>
              </w:rPr>
            </w:pPr>
            <w:r>
              <w:rPr>
                <w:rFonts w:ascii="仿宋" w:hAnsi="仿宋" w:eastAsia="仿宋" w:cs="仿宋"/>
                <w:sz w:val="28"/>
                <w:szCs w:val="28"/>
                <w:lang w:eastAsia="zh-CN"/>
              </w:rPr>
              <w:t>1、</w:t>
            </w:r>
            <w:r>
              <w:rPr>
                <w:rFonts w:ascii="仿宋" w:hAnsi="仿宋" w:eastAsia="仿宋" w:cs="仿宋"/>
                <w:sz w:val="28"/>
                <w:szCs w:val="28"/>
              </w:rPr>
              <w:t>投标人提供的</w:t>
            </w:r>
            <w:r>
              <w:rPr>
                <w:rFonts w:ascii="仿宋" w:hAnsi="仿宋" w:eastAsia="仿宋" w:cs="仿宋"/>
                <w:sz w:val="28"/>
                <w:szCs w:val="28"/>
                <w:lang w:eastAsia="zh-CN"/>
              </w:rPr>
              <w:t>培训</w:t>
            </w:r>
            <w:r>
              <w:rPr>
                <w:rFonts w:ascii="仿宋" w:hAnsi="仿宋" w:eastAsia="仿宋" w:cs="仿宋"/>
                <w:sz w:val="28"/>
                <w:szCs w:val="28"/>
              </w:rPr>
              <w:t>方案，涵盖上述所有内容且方案详细完整</w:t>
            </w:r>
            <w:r>
              <w:rPr>
                <w:rFonts w:ascii="仿宋" w:hAnsi="仿宋" w:eastAsia="仿宋" w:cs="仿宋"/>
                <w:sz w:val="28"/>
                <w:szCs w:val="28"/>
                <w:lang w:eastAsia="zh-CN"/>
              </w:rPr>
              <w:t>，</w:t>
            </w:r>
            <w:r>
              <w:rPr>
                <w:rFonts w:ascii="仿宋" w:hAnsi="仿宋" w:eastAsia="仿宋" w:cs="仿宋"/>
                <w:sz w:val="28"/>
                <w:szCs w:val="28"/>
              </w:rPr>
              <w:t>针对本项目为采购人提供有专人指导和简单上手的设备操作培训课程安排，有明确的课程及培训内容安排，对设备的操作过程中注意事项有详细指引，对特殊情况（如设备反复重启，操作失灵，错误操作等情况）有图文详解及完整应对培训的，得</w:t>
            </w:r>
            <w:r>
              <w:rPr>
                <w:rFonts w:hint="eastAsia" w:ascii="仿宋" w:hAnsi="仿宋" w:eastAsia="仿宋" w:cs="仿宋"/>
                <w:sz w:val="28"/>
                <w:szCs w:val="28"/>
                <w:lang w:val="en-US" w:eastAsia="zh-CN"/>
              </w:rPr>
              <w:t>8</w:t>
            </w:r>
            <w:r>
              <w:rPr>
                <w:rFonts w:ascii="仿宋" w:hAnsi="仿宋" w:eastAsia="仿宋" w:cs="仿宋"/>
                <w:sz w:val="28"/>
                <w:szCs w:val="28"/>
              </w:rPr>
              <w:t>分；</w:t>
            </w:r>
          </w:p>
          <w:p w14:paraId="78963DF0">
            <w:pPr>
              <w:pStyle w:val="30"/>
              <w:numPr>
                <w:ilvl w:val="255"/>
                <w:numId w:val="0"/>
              </w:numPr>
              <w:rPr>
                <w:rFonts w:hint="default" w:ascii="仿宋" w:hAnsi="仿宋" w:eastAsia="仿宋" w:cs="仿宋"/>
                <w:sz w:val="28"/>
                <w:szCs w:val="28"/>
              </w:rPr>
            </w:pPr>
            <w:r>
              <w:rPr>
                <w:rFonts w:ascii="仿宋" w:hAnsi="仿宋" w:eastAsia="仿宋" w:cs="仿宋"/>
                <w:sz w:val="28"/>
                <w:szCs w:val="28"/>
                <w:lang w:eastAsia="zh-CN"/>
              </w:rPr>
              <w:t>2、</w:t>
            </w:r>
            <w:r>
              <w:rPr>
                <w:rFonts w:ascii="仿宋" w:hAnsi="仿宋" w:eastAsia="仿宋" w:cs="仿宋"/>
                <w:sz w:val="28"/>
                <w:szCs w:val="28"/>
              </w:rPr>
              <w:t>投标人提供的</w:t>
            </w:r>
            <w:r>
              <w:rPr>
                <w:rFonts w:ascii="仿宋" w:hAnsi="仿宋" w:eastAsia="仿宋" w:cs="仿宋"/>
                <w:sz w:val="28"/>
                <w:szCs w:val="28"/>
                <w:lang w:eastAsia="zh-CN"/>
              </w:rPr>
              <w:t>培训</w:t>
            </w:r>
            <w:r>
              <w:rPr>
                <w:rFonts w:ascii="仿宋" w:hAnsi="仿宋" w:eastAsia="仿宋" w:cs="仿宋"/>
                <w:sz w:val="28"/>
                <w:szCs w:val="28"/>
              </w:rPr>
              <w:t>方案，涵盖上述所有内容，方案完整但不具体</w:t>
            </w:r>
            <w:r>
              <w:rPr>
                <w:rFonts w:ascii="仿宋" w:hAnsi="仿宋" w:eastAsia="仿宋" w:cs="仿宋"/>
                <w:sz w:val="28"/>
                <w:szCs w:val="28"/>
                <w:lang w:eastAsia="zh-CN"/>
              </w:rPr>
              <w:t>，</w:t>
            </w:r>
            <w:r>
              <w:rPr>
                <w:rFonts w:ascii="仿宋" w:hAnsi="仿宋" w:eastAsia="仿宋" w:cs="仿宋"/>
                <w:sz w:val="28"/>
                <w:szCs w:val="28"/>
              </w:rPr>
              <w:t>针对本项目为采购人提供有专人指导和简单上手的设备操作培训课程安排，有简单的课程及培训内容安排，对设备的操作过程中注意事项有基本操作指引，得</w:t>
            </w:r>
            <w:r>
              <w:rPr>
                <w:rFonts w:hint="eastAsia" w:ascii="仿宋" w:hAnsi="仿宋" w:eastAsia="仿宋" w:cs="仿宋"/>
                <w:sz w:val="28"/>
                <w:szCs w:val="28"/>
                <w:lang w:val="en-US" w:eastAsia="zh-CN"/>
              </w:rPr>
              <w:t>5</w:t>
            </w:r>
            <w:r>
              <w:rPr>
                <w:rFonts w:ascii="仿宋" w:hAnsi="仿宋" w:eastAsia="仿宋" w:cs="仿宋"/>
                <w:sz w:val="28"/>
                <w:szCs w:val="28"/>
              </w:rPr>
              <w:t>分；</w:t>
            </w:r>
          </w:p>
          <w:p w14:paraId="58D03D6A">
            <w:pPr>
              <w:pStyle w:val="30"/>
              <w:rPr>
                <w:rFonts w:hint="default" w:ascii="仿宋" w:hAnsi="仿宋" w:eastAsia="仿宋" w:cs="仿宋"/>
                <w:sz w:val="28"/>
                <w:szCs w:val="28"/>
              </w:rPr>
            </w:pPr>
            <w:r>
              <w:rPr>
                <w:rFonts w:ascii="仿宋" w:hAnsi="仿宋" w:eastAsia="仿宋" w:cs="仿宋"/>
                <w:sz w:val="28"/>
                <w:szCs w:val="28"/>
                <w:lang w:eastAsia="zh-CN"/>
              </w:rPr>
              <w:t>3、</w:t>
            </w:r>
            <w:r>
              <w:rPr>
                <w:rFonts w:ascii="仿宋" w:hAnsi="仿宋" w:eastAsia="仿宋" w:cs="仿宋"/>
                <w:sz w:val="28"/>
                <w:szCs w:val="28"/>
              </w:rPr>
              <w:t>投标人提供的</w:t>
            </w:r>
            <w:r>
              <w:rPr>
                <w:rFonts w:ascii="仿宋" w:hAnsi="仿宋" w:eastAsia="仿宋" w:cs="仿宋"/>
                <w:sz w:val="28"/>
                <w:szCs w:val="28"/>
                <w:lang w:eastAsia="zh-CN"/>
              </w:rPr>
              <w:t>培训</w:t>
            </w:r>
            <w:r>
              <w:rPr>
                <w:rFonts w:ascii="仿宋" w:hAnsi="仿宋" w:eastAsia="仿宋" w:cs="仿宋"/>
                <w:sz w:val="28"/>
                <w:szCs w:val="28"/>
              </w:rPr>
              <w:t>方案，涵盖上述所有内容且售后服务方案不完整</w:t>
            </w:r>
            <w:r>
              <w:rPr>
                <w:rFonts w:ascii="仿宋" w:hAnsi="仿宋" w:eastAsia="仿宋" w:cs="仿宋"/>
                <w:sz w:val="28"/>
                <w:szCs w:val="28"/>
                <w:lang w:eastAsia="zh-CN"/>
              </w:rPr>
              <w:t>，未</w:t>
            </w:r>
            <w:r>
              <w:rPr>
                <w:rFonts w:ascii="仿宋" w:hAnsi="仿宋" w:eastAsia="仿宋" w:cs="仿宋"/>
                <w:sz w:val="28"/>
                <w:szCs w:val="28"/>
              </w:rPr>
              <w:t>提供</w:t>
            </w:r>
            <w:r>
              <w:rPr>
                <w:rFonts w:ascii="仿宋" w:hAnsi="仿宋" w:eastAsia="仿宋" w:cs="仿宋"/>
                <w:sz w:val="28"/>
                <w:szCs w:val="28"/>
                <w:lang w:eastAsia="zh-CN"/>
              </w:rPr>
              <w:t>专人</w:t>
            </w:r>
            <w:r>
              <w:rPr>
                <w:rFonts w:ascii="仿宋" w:hAnsi="仿宋" w:eastAsia="仿宋" w:cs="仿宋"/>
                <w:sz w:val="28"/>
                <w:szCs w:val="28"/>
              </w:rPr>
              <w:t>指导</w:t>
            </w:r>
            <w:r>
              <w:rPr>
                <w:rFonts w:ascii="仿宋" w:hAnsi="仿宋" w:eastAsia="仿宋" w:cs="仿宋"/>
                <w:sz w:val="28"/>
                <w:szCs w:val="28"/>
                <w:lang w:eastAsia="zh-CN"/>
              </w:rPr>
              <w:t>、</w:t>
            </w:r>
            <w:r>
              <w:rPr>
                <w:rFonts w:ascii="仿宋" w:hAnsi="仿宋" w:eastAsia="仿宋" w:cs="仿宋"/>
                <w:sz w:val="28"/>
                <w:szCs w:val="28"/>
              </w:rPr>
              <w:t>培训课程安排简单含糊，课程及培训内容安排不明确，对操作培训含糊其辞，得</w:t>
            </w:r>
            <w:r>
              <w:rPr>
                <w:rFonts w:hint="eastAsia" w:ascii="仿宋" w:hAnsi="仿宋" w:eastAsia="仿宋" w:cs="仿宋"/>
                <w:sz w:val="28"/>
                <w:szCs w:val="28"/>
                <w:lang w:val="en-US" w:eastAsia="zh-CN"/>
              </w:rPr>
              <w:t>2</w:t>
            </w:r>
            <w:r>
              <w:rPr>
                <w:rFonts w:ascii="仿宋" w:hAnsi="仿宋" w:eastAsia="仿宋" w:cs="仿宋"/>
                <w:sz w:val="28"/>
                <w:szCs w:val="28"/>
              </w:rPr>
              <w:t xml:space="preserve">分； </w:t>
            </w:r>
          </w:p>
          <w:p w14:paraId="49BC7C41">
            <w:pPr>
              <w:ind w:firstLine="0"/>
              <w:jc w:val="left"/>
              <w:rPr>
                <w:rFonts w:hint="eastAsia" w:ascii="仿宋" w:hAnsi="仿宋" w:eastAsia="仿宋"/>
                <w:sz w:val="28"/>
                <w:szCs w:val="28"/>
              </w:rPr>
            </w:pPr>
            <w:r>
              <w:rPr>
                <w:rFonts w:ascii="仿宋" w:hAnsi="仿宋" w:eastAsia="仿宋" w:cs="仿宋"/>
                <w:sz w:val="28"/>
                <w:szCs w:val="28"/>
              </w:rPr>
              <w:t>4、没有涵盖上述所有内容或没有提供方案不得分。</w:t>
            </w:r>
          </w:p>
        </w:tc>
      </w:tr>
      <w:tr w14:paraId="4D4D17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tcPr>
          <w:p w14:paraId="0AE2EE85">
            <w:pPr>
              <w:ind w:firstLine="0"/>
              <w:rPr>
                <w:sz w:val="28"/>
                <w:szCs w:val="28"/>
              </w:rPr>
            </w:pPr>
            <w:r>
              <w:rPr>
                <w:rFonts w:hint="eastAsia"/>
                <w:sz w:val="28"/>
                <w:szCs w:val="28"/>
              </w:rPr>
              <w:t>商务部分</w:t>
            </w:r>
          </w:p>
        </w:tc>
        <w:tc>
          <w:tcPr>
            <w:tcW w:w="2376" w:type="dxa"/>
          </w:tcPr>
          <w:p w14:paraId="63780223">
            <w:pPr>
              <w:ind w:firstLine="0"/>
              <w:jc w:val="left"/>
              <w:rPr>
                <w:sz w:val="28"/>
                <w:szCs w:val="28"/>
              </w:rPr>
            </w:pPr>
            <w:r>
              <w:rPr>
                <w:rFonts w:hint="eastAsia"/>
                <w:sz w:val="28"/>
                <w:szCs w:val="28"/>
              </w:rPr>
              <w:t>投标人</w:t>
            </w:r>
            <w:r>
              <w:rPr>
                <w:sz w:val="28"/>
                <w:szCs w:val="28"/>
              </w:rPr>
              <w:t>同类项目</w:t>
            </w:r>
            <w:r>
              <w:rPr>
                <w:rFonts w:hint="eastAsia"/>
                <w:sz w:val="28"/>
                <w:szCs w:val="28"/>
              </w:rPr>
              <w:t>业绩情况</w:t>
            </w:r>
            <w:r>
              <w:rPr>
                <w:sz w:val="28"/>
                <w:szCs w:val="28"/>
              </w:rPr>
              <w:t xml:space="preserve"> (</w:t>
            </w:r>
            <w:r>
              <w:rPr>
                <w:rFonts w:hint="eastAsia"/>
                <w:sz w:val="28"/>
                <w:szCs w:val="28"/>
                <w:lang w:val="en-US" w:eastAsia="zh-CN"/>
              </w:rPr>
              <w:t>8</w:t>
            </w:r>
            <w:r>
              <w:rPr>
                <w:sz w:val="28"/>
                <w:szCs w:val="28"/>
              </w:rPr>
              <w:t>.0分)</w:t>
            </w:r>
          </w:p>
        </w:tc>
        <w:tc>
          <w:tcPr>
            <w:tcW w:w="5986" w:type="dxa"/>
          </w:tcPr>
          <w:p w14:paraId="43C1FF6A">
            <w:pPr>
              <w:ind w:firstLine="0"/>
              <w:rPr>
                <w:sz w:val="28"/>
                <w:szCs w:val="28"/>
              </w:rPr>
            </w:pPr>
            <w:r>
              <w:rPr>
                <w:rFonts w:hint="eastAsia"/>
                <w:sz w:val="28"/>
                <w:szCs w:val="28"/>
              </w:rPr>
              <w:t>投标人</w:t>
            </w:r>
            <w:r>
              <w:rPr>
                <w:sz w:val="28"/>
                <w:szCs w:val="28"/>
              </w:rPr>
              <w:t>自202</w:t>
            </w:r>
            <w:r>
              <w:rPr>
                <w:rFonts w:hint="eastAsia"/>
                <w:sz w:val="28"/>
                <w:szCs w:val="28"/>
              </w:rPr>
              <w:t>4</w:t>
            </w:r>
            <w:r>
              <w:rPr>
                <w:sz w:val="28"/>
                <w:szCs w:val="28"/>
              </w:rPr>
              <w:t>年1月1日至递交</w:t>
            </w:r>
            <w:r>
              <w:rPr>
                <w:rFonts w:hint="eastAsia"/>
                <w:sz w:val="28"/>
                <w:szCs w:val="28"/>
              </w:rPr>
              <w:t>投标</w:t>
            </w:r>
            <w:r>
              <w:rPr>
                <w:sz w:val="28"/>
                <w:szCs w:val="28"/>
              </w:rPr>
              <w:t>文件截止时间止（以合同签订时间为准），承接过</w:t>
            </w:r>
            <w:r>
              <w:rPr>
                <w:rFonts w:hint="eastAsia"/>
                <w:sz w:val="28"/>
                <w:szCs w:val="28"/>
              </w:rPr>
              <w:t>同类</w:t>
            </w:r>
            <w:r>
              <w:rPr>
                <w:sz w:val="28"/>
                <w:szCs w:val="28"/>
              </w:rPr>
              <w:t>项目</w:t>
            </w:r>
            <w:r>
              <w:rPr>
                <w:rFonts w:hint="eastAsia"/>
                <w:sz w:val="28"/>
                <w:szCs w:val="28"/>
              </w:rPr>
              <w:t>业绩</w:t>
            </w:r>
            <w:r>
              <w:rPr>
                <w:sz w:val="28"/>
                <w:szCs w:val="28"/>
              </w:rPr>
              <w:t>，每提供1个业绩，得</w:t>
            </w:r>
            <w:r>
              <w:rPr>
                <w:rFonts w:hint="eastAsia"/>
                <w:sz w:val="28"/>
                <w:szCs w:val="28"/>
              </w:rPr>
              <w:t>2</w:t>
            </w:r>
            <w:r>
              <w:rPr>
                <w:sz w:val="28"/>
                <w:szCs w:val="28"/>
              </w:rPr>
              <w:t>分，最高得</w:t>
            </w:r>
            <w:r>
              <w:rPr>
                <w:rFonts w:hint="eastAsia"/>
                <w:sz w:val="28"/>
                <w:szCs w:val="28"/>
                <w:lang w:val="en-US" w:eastAsia="zh-CN"/>
              </w:rPr>
              <w:t>8</w:t>
            </w:r>
            <w:r>
              <w:rPr>
                <w:sz w:val="28"/>
                <w:szCs w:val="28"/>
              </w:rPr>
              <w:t>分 。</w:t>
            </w:r>
          </w:p>
          <w:p w14:paraId="509F451A">
            <w:pPr>
              <w:ind w:firstLine="0"/>
              <w:rPr>
                <w:sz w:val="28"/>
                <w:szCs w:val="28"/>
              </w:rPr>
            </w:pPr>
            <w:r>
              <w:rPr>
                <w:sz w:val="28"/>
                <w:szCs w:val="28"/>
              </w:rPr>
              <w:t>【注：1.以签订合同的时间为准（分支机构的，总公司（总所）业绩可纳入评审）；2.须提供业绩合同关键页（须体现项目名称、合同</w:t>
            </w:r>
            <w:r>
              <w:rPr>
                <w:rFonts w:hint="eastAsia"/>
                <w:sz w:val="28"/>
                <w:szCs w:val="28"/>
              </w:rPr>
              <w:t>标的</w:t>
            </w:r>
            <w:r>
              <w:rPr>
                <w:sz w:val="28"/>
                <w:szCs w:val="28"/>
              </w:rPr>
              <w:t>、</w:t>
            </w:r>
            <w:r>
              <w:rPr>
                <w:rFonts w:hint="eastAsia"/>
                <w:sz w:val="28"/>
                <w:szCs w:val="28"/>
              </w:rPr>
              <w:t>签订合同双方的落款盖章及签订日期</w:t>
            </w:r>
            <w:r>
              <w:rPr>
                <w:sz w:val="28"/>
                <w:szCs w:val="28"/>
              </w:rPr>
              <w:t>）有效证明材料</w:t>
            </w:r>
            <w:r>
              <w:rPr>
                <w:rFonts w:hint="eastAsia"/>
                <w:sz w:val="28"/>
                <w:szCs w:val="28"/>
                <w:lang w:val="en-US" w:eastAsia="zh-CN"/>
              </w:rPr>
              <w:t>及对应发票</w:t>
            </w:r>
            <w:r>
              <w:rPr>
                <w:sz w:val="28"/>
                <w:szCs w:val="28"/>
              </w:rPr>
              <w:t>复印件并加盖公章。 3.同一客户不累计得分。</w:t>
            </w:r>
            <w:r>
              <w:rPr>
                <w:rFonts w:hint="eastAsia"/>
                <w:sz w:val="28"/>
                <w:szCs w:val="28"/>
              </w:rPr>
              <w:t>4</w:t>
            </w:r>
            <w:r>
              <w:rPr>
                <w:sz w:val="28"/>
                <w:szCs w:val="28"/>
              </w:rPr>
              <w:t>.</w:t>
            </w:r>
            <w:r>
              <w:rPr>
                <w:rFonts w:hint="eastAsia"/>
                <w:sz w:val="28"/>
                <w:szCs w:val="28"/>
              </w:rPr>
              <w:t>合同标的须包含与采购标的同类型（不限制同品牌同型号）的设备，否则不计入同类业绩。</w:t>
            </w:r>
            <w:r>
              <w:rPr>
                <w:sz w:val="28"/>
                <w:szCs w:val="28"/>
              </w:rPr>
              <w:t>】</w:t>
            </w:r>
          </w:p>
        </w:tc>
      </w:tr>
      <w:tr w14:paraId="09E9DC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tcPr>
          <w:p w14:paraId="0409ED90">
            <w:pPr>
              <w:ind w:firstLine="0"/>
              <w:rPr>
                <w:sz w:val="28"/>
                <w:szCs w:val="28"/>
              </w:rPr>
            </w:pPr>
            <w:r>
              <w:rPr>
                <w:rFonts w:hint="eastAsia"/>
                <w:sz w:val="28"/>
                <w:szCs w:val="28"/>
              </w:rPr>
              <w:t>投标</w:t>
            </w:r>
            <w:r>
              <w:rPr>
                <w:sz w:val="28"/>
                <w:szCs w:val="28"/>
              </w:rPr>
              <w:t>报价</w:t>
            </w:r>
          </w:p>
        </w:tc>
        <w:tc>
          <w:tcPr>
            <w:tcW w:w="2376" w:type="dxa"/>
          </w:tcPr>
          <w:p w14:paraId="75733D3A">
            <w:pPr>
              <w:ind w:firstLine="0"/>
              <w:jc w:val="left"/>
              <w:rPr>
                <w:sz w:val="28"/>
                <w:szCs w:val="28"/>
              </w:rPr>
            </w:pPr>
            <w:r>
              <w:rPr>
                <w:rFonts w:hint="eastAsia"/>
                <w:sz w:val="28"/>
                <w:szCs w:val="28"/>
              </w:rPr>
              <w:t>投标</w:t>
            </w:r>
            <w:r>
              <w:rPr>
                <w:sz w:val="28"/>
                <w:szCs w:val="28"/>
              </w:rPr>
              <w:t>报价得分 (</w:t>
            </w:r>
            <w:r>
              <w:rPr>
                <w:rFonts w:hint="eastAsia"/>
                <w:sz w:val="28"/>
                <w:szCs w:val="28"/>
              </w:rPr>
              <w:t>3</w:t>
            </w:r>
            <w:r>
              <w:rPr>
                <w:sz w:val="28"/>
                <w:szCs w:val="28"/>
              </w:rPr>
              <w:t>0.0分)</w:t>
            </w:r>
          </w:p>
        </w:tc>
        <w:tc>
          <w:tcPr>
            <w:tcW w:w="5986" w:type="dxa"/>
          </w:tcPr>
          <w:p w14:paraId="2B56B46C">
            <w:pPr>
              <w:ind w:firstLine="0"/>
              <w:rPr>
                <w:rFonts w:eastAsia="仿宋"/>
              </w:rPr>
            </w:pPr>
            <w:r>
              <w:rPr>
                <w:rFonts w:hint="eastAsia" w:ascii="仿宋" w:hAnsi="仿宋" w:eastAsia="仿宋" w:cstheme="minorBidi"/>
                <w:sz w:val="28"/>
                <w:szCs w:val="28"/>
              </w:rPr>
              <w:t>投标报价得分(30.0分)：投标报价得分＝（基准价/</w:t>
            </w:r>
            <w:r>
              <w:rPr>
                <w:rFonts w:hint="eastAsia" w:ascii="仿宋" w:hAnsi="仿宋" w:eastAsia="仿宋" w:cstheme="minorBidi"/>
                <w:sz w:val="28"/>
                <w:szCs w:val="28"/>
                <w:lang w:val="en-US" w:eastAsia="zh-CN"/>
              </w:rPr>
              <w:t>投标</w:t>
            </w:r>
            <w:r>
              <w:rPr>
                <w:rFonts w:hint="eastAsia" w:ascii="仿宋" w:hAnsi="仿宋" w:eastAsia="仿宋" w:cstheme="minorBidi"/>
                <w:sz w:val="28"/>
                <w:szCs w:val="28"/>
              </w:rPr>
              <w:t>报价）×价格分值【注：满足采购文件要求且投标价格最低的投标报价为评标基准价。】最低报价不是中标的唯一依据。</w:t>
            </w:r>
          </w:p>
        </w:tc>
      </w:tr>
    </w:tbl>
    <w:p w14:paraId="2D65FFEC">
      <w:pPr>
        <w:autoSpaceDE w:val="0"/>
        <w:autoSpaceDN w:val="0"/>
        <w:adjustRightInd w:val="0"/>
        <w:snapToGrid w:val="0"/>
        <w:spacing w:line="240" w:lineRule="auto"/>
        <w:ind w:firstLine="0"/>
        <w:rPr>
          <w:rFonts w:ascii="仿宋" w:hAnsi="仿宋" w:eastAsia="仿宋" w:cs="Helvetica Neue"/>
          <w:i/>
          <w:iCs/>
          <w:kern w:val="0"/>
          <w:sz w:val="28"/>
          <w:szCs w:val="28"/>
        </w:rPr>
      </w:pPr>
      <w:bookmarkStart w:id="1" w:name="_GoBack"/>
      <w:bookmarkEnd w:id="1"/>
    </w:p>
    <w:sectPr>
      <w:footerReference r:id="rId5" w:type="default"/>
      <w:footerReference r:id="rId6" w:type="even"/>
      <w:pgSz w:w="11906" w:h="16838"/>
      <w:pgMar w:top="2098" w:right="1474" w:bottom="1984" w:left="1587" w:header="851" w:footer="1389" w:gutter="0"/>
      <w:cols w:space="0" w:num="1"/>
      <w:docGrid w:type="linesAndChars" w:linePitch="589" w:charSpace="15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Helvetica Neue">
    <w:altName w:val="Times New Roman"/>
    <w:panose1 w:val="00000000000000000000"/>
    <w:charset w:val="00"/>
    <w:family w:val="auto"/>
    <w:pitch w:val="default"/>
    <w:sig w:usb0="00000000" w:usb1="00000000"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2368"/>
    </w:sdtPr>
    <w:sdtContent>
      <w:p w14:paraId="6999695F">
        <w:pPr>
          <w:pStyle w:val="8"/>
          <w:ind w:right="320" w:rightChars="100" w:firstLine="0"/>
          <w:jc w:val="right"/>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15</w:t>
        </w:r>
        <w:r>
          <w:rPr>
            <w:rFonts w:ascii="宋体" w:hAnsi="宋体" w:eastAsia="宋体"/>
            <w:sz w:val="28"/>
            <w:szCs w:val="28"/>
          </w:rPr>
          <w:fldChar w:fldCharType="end"/>
        </w:r>
        <w:r>
          <w:rPr>
            <w:rFonts w:hint="eastAsia" w:ascii="宋体" w:hAnsi="宋体" w:eastAsia="宋体"/>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19E3B">
    <w:pPr>
      <w:pStyle w:val="8"/>
      <w:ind w:left="320" w:leftChars="100" w:firstLine="0"/>
    </w:pPr>
    <w:r>
      <w:rPr>
        <w:rFonts w:hint="eastAsia" w:ascii="宋体" w:hAnsi="宋体" w:eastAsia="宋体"/>
        <w:sz w:val="28"/>
        <w:szCs w:val="28"/>
      </w:rPr>
      <w:t xml:space="preserve">— </w:t>
    </w:r>
    <w:sdt>
      <w:sdtPr>
        <w:rPr>
          <w:rFonts w:ascii="宋体" w:hAnsi="宋体" w:eastAsia="宋体"/>
          <w:sz w:val="28"/>
          <w:szCs w:val="28"/>
        </w:rPr>
        <w:id w:val="147454186"/>
      </w:sdtPr>
      <w:sdtEndPr>
        <w:rPr>
          <w:rFonts w:ascii="Times New Roman" w:hAnsi="Times New Roman" w:eastAsia="仿宋_GB2312"/>
          <w:sz w:val="18"/>
          <w:szCs w:val="18"/>
        </w:rPr>
      </w:sdtEndPr>
      <w:sdtContent>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10</w:t>
        </w:r>
        <w:r>
          <w:rPr>
            <w:rFonts w:ascii="宋体" w:hAnsi="宋体" w:eastAsia="宋体"/>
            <w:sz w:val="28"/>
            <w:szCs w:val="28"/>
          </w:rPr>
          <w:fldChar w:fldCharType="end"/>
        </w:r>
        <w:r>
          <w:rPr>
            <w:rFonts w:hint="eastAsia" w:ascii="宋体" w:hAnsi="宋体" w:eastAsia="宋体"/>
            <w:sz w:val="28"/>
            <w:szCs w:val="28"/>
          </w:rP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466310"/>
    <w:multiLevelType w:val="singleLevel"/>
    <w:tmpl w:val="FE466310"/>
    <w:lvl w:ilvl="0" w:tentative="0">
      <w:start w:val="1"/>
      <w:numFmt w:val="decimal"/>
      <w:lvlText w:val="%1."/>
      <w:lvlJc w:val="left"/>
      <w:pPr>
        <w:ind w:left="425" w:hanging="425"/>
      </w:pPr>
      <w:rPr>
        <w:rFonts w:hint="default"/>
      </w:rPr>
    </w:lvl>
  </w:abstractNum>
  <w:abstractNum w:abstractNumId="1">
    <w:nsid w:val="5D53F2D8"/>
    <w:multiLevelType w:val="singleLevel"/>
    <w:tmpl w:val="5D53F2D8"/>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64"/>
  <w:drawingGridVerticalSpacing w:val="29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0NzQ0NmNmYjlhYmM0NDBmZTg1MDM0MTljOTVkODIifQ=="/>
  </w:docVars>
  <w:rsids>
    <w:rsidRoot w:val="009A59A7"/>
    <w:rsid w:val="0000008E"/>
    <w:rsid w:val="00000136"/>
    <w:rsid w:val="000007A8"/>
    <w:rsid w:val="00006C47"/>
    <w:rsid w:val="000076DA"/>
    <w:rsid w:val="0001143F"/>
    <w:rsid w:val="00013177"/>
    <w:rsid w:val="0002365E"/>
    <w:rsid w:val="0002613A"/>
    <w:rsid w:val="00026AD8"/>
    <w:rsid w:val="00030F1A"/>
    <w:rsid w:val="00031572"/>
    <w:rsid w:val="00034C57"/>
    <w:rsid w:val="00052DFD"/>
    <w:rsid w:val="000541F4"/>
    <w:rsid w:val="00054B7F"/>
    <w:rsid w:val="00076578"/>
    <w:rsid w:val="00081243"/>
    <w:rsid w:val="00082650"/>
    <w:rsid w:val="00087029"/>
    <w:rsid w:val="0008752A"/>
    <w:rsid w:val="00092FC1"/>
    <w:rsid w:val="000A1C14"/>
    <w:rsid w:val="000A36F5"/>
    <w:rsid w:val="000A3F79"/>
    <w:rsid w:val="000B0F95"/>
    <w:rsid w:val="000B1C44"/>
    <w:rsid w:val="000B40A0"/>
    <w:rsid w:val="000B4A23"/>
    <w:rsid w:val="000B4E35"/>
    <w:rsid w:val="000B5C73"/>
    <w:rsid w:val="000C18DF"/>
    <w:rsid w:val="000C1EB1"/>
    <w:rsid w:val="000C4553"/>
    <w:rsid w:val="000D7232"/>
    <w:rsid w:val="000E57D1"/>
    <w:rsid w:val="000F632B"/>
    <w:rsid w:val="0010292A"/>
    <w:rsid w:val="0010309F"/>
    <w:rsid w:val="00103817"/>
    <w:rsid w:val="00103B7E"/>
    <w:rsid w:val="00120C2B"/>
    <w:rsid w:val="00120FCC"/>
    <w:rsid w:val="00122162"/>
    <w:rsid w:val="0012262D"/>
    <w:rsid w:val="00123214"/>
    <w:rsid w:val="001244C5"/>
    <w:rsid w:val="001302BF"/>
    <w:rsid w:val="00130F95"/>
    <w:rsid w:val="001315C1"/>
    <w:rsid w:val="001325CD"/>
    <w:rsid w:val="001344AF"/>
    <w:rsid w:val="00141299"/>
    <w:rsid w:val="00141842"/>
    <w:rsid w:val="00143D26"/>
    <w:rsid w:val="001440DF"/>
    <w:rsid w:val="00145F9F"/>
    <w:rsid w:val="00146A53"/>
    <w:rsid w:val="00155249"/>
    <w:rsid w:val="00156673"/>
    <w:rsid w:val="0015713B"/>
    <w:rsid w:val="001601ED"/>
    <w:rsid w:val="00161113"/>
    <w:rsid w:val="00163947"/>
    <w:rsid w:val="00163FFE"/>
    <w:rsid w:val="0018104B"/>
    <w:rsid w:val="0018366B"/>
    <w:rsid w:val="00193F88"/>
    <w:rsid w:val="00194029"/>
    <w:rsid w:val="00194823"/>
    <w:rsid w:val="00195EBA"/>
    <w:rsid w:val="00196EDA"/>
    <w:rsid w:val="00197854"/>
    <w:rsid w:val="001A24E6"/>
    <w:rsid w:val="001A4447"/>
    <w:rsid w:val="001B1333"/>
    <w:rsid w:val="001B1B71"/>
    <w:rsid w:val="001B2A68"/>
    <w:rsid w:val="001C4EA1"/>
    <w:rsid w:val="001C7344"/>
    <w:rsid w:val="001D0A86"/>
    <w:rsid w:val="001D277D"/>
    <w:rsid w:val="001D57C9"/>
    <w:rsid w:val="001E66AD"/>
    <w:rsid w:val="001E748A"/>
    <w:rsid w:val="001E75F5"/>
    <w:rsid w:val="001F1E42"/>
    <w:rsid w:val="001F2B01"/>
    <w:rsid w:val="001F61A3"/>
    <w:rsid w:val="00201605"/>
    <w:rsid w:val="00201B09"/>
    <w:rsid w:val="0020337F"/>
    <w:rsid w:val="00205D93"/>
    <w:rsid w:val="00211325"/>
    <w:rsid w:val="00213CF6"/>
    <w:rsid w:val="00217EB6"/>
    <w:rsid w:val="0022025E"/>
    <w:rsid w:val="0022087F"/>
    <w:rsid w:val="002235DD"/>
    <w:rsid w:val="00225074"/>
    <w:rsid w:val="00225A40"/>
    <w:rsid w:val="00225D74"/>
    <w:rsid w:val="002263DC"/>
    <w:rsid w:val="00227FF5"/>
    <w:rsid w:val="0024036D"/>
    <w:rsid w:val="002414CF"/>
    <w:rsid w:val="00243695"/>
    <w:rsid w:val="0025147A"/>
    <w:rsid w:val="00257A98"/>
    <w:rsid w:val="00257BBF"/>
    <w:rsid w:val="0026359B"/>
    <w:rsid w:val="00263A16"/>
    <w:rsid w:val="00265CB5"/>
    <w:rsid w:val="00271D88"/>
    <w:rsid w:val="0027272D"/>
    <w:rsid w:val="00273DFA"/>
    <w:rsid w:val="002751DD"/>
    <w:rsid w:val="00275BDD"/>
    <w:rsid w:val="00277D7F"/>
    <w:rsid w:val="00285A10"/>
    <w:rsid w:val="00287327"/>
    <w:rsid w:val="0029452B"/>
    <w:rsid w:val="002A35A5"/>
    <w:rsid w:val="002B0637"/>
    <w:rsid w:val="002B0DC8"/>
    <w:rsid w:val="002B16C9"/>
    <w:rsid w:val="002B39A4"/>
    <w:rsid w:val="002B571C"/>
    <w:rsid w:val="002B66FD"/>
    <w:rsid w:val="002C0DD6"/>
    <w:rsid w:val="002C6A1A"/>
    <w:rsid w:val="002C7F54"/>
    <w:rsid w:val="002D7395"/>
    <w:rsid w:val="002E237F"/>
    <w:rsid w:val="002E26D3"/>
    <w:rsid w:val="002E412B"/>
    <w:rsid w:val="002E41F5"/>
    <w:rsid w:val="002E61B9"/>
    <w:rsid w:val="00301D14"/>
    <w:rsid w:val="00304B70"/>
    <w:rsid w:val="0030630E"/>
    <w:rsid w:val="00306A5A"/>
    <w:rsid w:val="003118DE"/>
    <w:rsid w:val="00317450"/>
    <w:rsid w:val="00317B17"/>
    <w:rsid w:val="00321DFD"/>
    <w:rsid w:val="00324D61"/>
    <w:rsid w:val="00331269"/>
    <w:rsid w:val="00331765"/>
    <w:rsid w:val="00335706"/>
    <w:rsid w:val="003462FA"/>
    <w:rsid w:val="0035436B"/>
    <w:rsid w:val="00354B6F"/>
    <w:rsid w:val="00354BBF"/>
    <w:rsid w:val="00357D77"/>
    <w:rsid w:val="0036243B"/>
    <w:rsid w:val="003627A5"/>
    <w:rsid w:val="00363973"/>
    <w:rsid w:val="00363C52"/>
    <w:rsid w:val="00365D7C"/>
    <w:rsid w:val="00367A87"/>
    <w:rsid w:val="00373D66"/>
    <w:rsid w:val="00375165"/>
    <w:rsid w:val="00385974"/>
    <w:rsid w:val="00396D38"/>
    <w:rsid w:val="003975FC"/>
    <w:rsid w:val="003A2354"/>
    <w:rsid w:val="003A287F"/>
    <w:rsid w:val="003A3428"/>
    <w:rsid w:val="003A6B84"/>
    <w:rsid w:val="003A7FDB"/>
    <w:rsid w:val="003B15FA"/>
    <w:rsid w:val="003B6F29"/>
    <w:rsid w:val="003C06FD"/>
    <w:rsid w:val="003C25CA"/>
    <w:rsid w:val="003C778E"/>
    <w:rsid w:val="003D0D49"/>
    <w:rsid w:val="003E3E9A"/>
    <w:rsid w:val="003E6D58"/>
    <w:rsid w:val="003E7246"/>
    <w:rsid w:val="003F1C9C"/>
    <w:rsid w:val="003F292B"/>
    <w:rsid w:val="003F2E03"/>
    <w:rsid w:val="004025CD"/>
    <w:rsid w:val="00403BED"/>
    <w:rsid w:val="0040411E"/>
    <w:rsid w:val="004052B2"/>
    <w:rsid w:val="00407D3F"/>
    <w:rsid w:val="00411B07"/>
    <w:rsid w:val="00412D70"/>
    <w:rsid w:val="00414DD2"/>
    <w:rsid w:val="0042121D"/>
    <w:rsid w:val="004258B3"/>
    <w:rsid w:val="00433431"/>
    <w:rsid w:val="0043482F"/>
    <w:rsid w:val="004462BF"/>
    <w:rsid w:val="0044771C"/>
    <w:rsid w:val="0045167E"/>
    <w:rsid w:val="004542D9"/>
    <w:rsid w:val="004555DA"/>
    <w:rsid w:val="0045705A"/>
    <w:rsid w:val="00462E0E"/>
    <w:rsid w:val="00463933"/>
    <w:rsid w:val="004743AB"/>
    <w:rsid w:val="00475E05"/>
    <w:rsid w:val="00476204"/>
    <w:rsid w:val="004762A8"/>
    <w:rsid w:val="00477D13"/>
    <w:rsid w:val="00481685"/>
    <w:rsid w:val="004849D9"/>
    <w:rsid w:val="00485C46"/>
    <w:rsid w:val="00493C16"/>
    <w:rsid w:val="00493F4A"/>
    <w:rsid w:val="00494368"/>
    <w:rsid w:val="00494B9F"/>
    <w:rsid w:val="004A044A"/>
    <w:rsid w:val="004A6E29"/>
    <w:rsid w:val="004B144E"/>
    <w:rsid w:val="004B5CDD"/>
    <w:rsid w:val="004B71F6"/>
    <w:rsid w:val="004B7AFA"/>
    <w:rsid w:val="004C01E3"/>
    <w:rsid w:val="004C08BF"/>
    <w:rsid w:val="004C0BB3"/>
    <w:rsid w:val="004D4DC6"/>
    <w:rsid w:val="004D5105"/>
    <w:rsid w:val="004D6964"/>
    <w:rsid w:val="004F04AA"/>
    <w:rsid w:val="004F2AC4"/>
    <w:rsid w:val="004F4C25"/>
    <w:rsid w:val="004F5211"/>
    <w:rsid w:val="005022A4"/>
    <w:rsid w:val="00511147"/>
    <w:rsid w:val="00514FB2"/>
    <w:rsid w:val="00516D24"/>
    <w:rsid w:val="00517059"/>
    <w:rsid w:val="00517202"/>
    <w:rsid w:val="00522C2F"/>
    <w:rsid w:val="0052575B"/>
    <w:rsid w:val="00532801"/>
    <w:rsid w:val="00535B02"/>
    <w:rsid w:val="00541E27"/>
    <w:rsid w:val="0054519E"/>
    <w:rsid w:val="00556000"/>
    <w:rsid w:val="00561A2B"/>
    <w:rsid w:val="00562309"/>
    <w:rsid w:val="00565508"/>
    <w:rsid w:val="00565873"/>
    <w:rsid w:val="005669DE"/>
    <w:rsid w:val="005720F7"/>
    <w:rsid w:val="005733B5"/>
    <w:rsid w:val="00575F65"/>
    <w:rsid w:val="005769D9"/>
    <w:rsid w:val="0057702D"/>
    <w:rsid w:val="00577BC2"/>
    <w:rsid w:val="00583A4F"/>
    <w:rsid w:val="00583CA1"/>
    <w:rsid w:val="00590D69"/>
    <w:rsid w:val="00591462"/>
    <w:rsid w:val="005A07A6"/>
    <w:rsid w:val="005A64D4"/>
    <w:rsid w:val="005A773E"/>
    <w:rsid w:val="005B3C9C"/>
    <w:rsid w:val="005B610C"/>
    <w:rsid w:val="005B6A5F"/>
    <w:rsid w:val="005C6DE6"/>
    <w:rsid w:val="005D1C18"/>
    <w:rsid w:val="005D66EC"/>
    <w:rsid w:val="005E77C3"/>
    <w:rsid w:val="005E7A6D"/>
    <w:rsid w:val="005F0B80"/>
    <w:rsid w:val="005F5EB3"/>
    <w:rsid w:val="005F6FA7"/>
    <w:rsid w:val="00602698"/>
    <w:rsid w:val="006031DD"/>
    <w:rsid w:val="006033F3"/>
    <w:rsid w:val="006033F4"/>
    <w:rsid w:val="00607155"/>
    <w:rsid w:val="00607359"/>
    <w:rsid w:val="00611496"/>
    <w:rsid w:val="006162E4"/>
    <w:rsid w:val="00616AAD"/>
    <w:rsid w:val="006221EF"/>
    <w:rsid w:val="00622D18"/>
    <w:rsid w:val="006242D9"/>
    <w:rsid w:val="00625C7A"/>
    <w:rsid w:val="00626C8C"/>
    <w:rsid w:val="00630355"/>
    <w:rsid w:val="00631FE5"/>
    <w:rsid w:val="00633CE2"/>
    <w:rsid w:val="00634A37"/>
    <w:rsid w:val="0065210E"/>
    <w:rsid w:val="00654F7F"/>
    <w:rsid w:val="0065726F"/>
    <w:rsid w:val="006573B3"/>
    <w:rsid w:val="00657FE3"/>
    <w:rsid w:val="00661709"/>
    <w:rsid w:val="00662F16"/>
    <w:rsid w:val="00664884"/>
    <w:rsid w:val="00670CE9"/>
    <w:rsid w:val="00672886"/>
    <w:rsid w:val="00672B3F"/>
    <w:rsid w:val="00673408"/>
    <w:rsid w:val="00676537"/>
    <w:rsid w:val="0067711A"/>
    <w:rsid w:val="00677F80"/>
    <w:rsid w:val="00681572"/>
    <w:rsid w:val="0068181F"/>
    <w:rsid w:val="00681CBA"/>
    <w:rsid w:val="0068467D"/>
    <w:rsid w:val="0068678D"/>
    <w:rsid w:val="006870CE"/>
    <w:rsid w:val="006931E5"/>
    <w:rsid w:val="006A3C5A"/>
    <w:rsid w:val="006A3E39"/>
    <w:rsid w:val="006B00BC"/>
    <w:rsid w:val="006B10A0"/>
    <w:rsid w:val="006B1C21"/>
    <w:rsid w:val="006B5BD9"/>
    <w:rsid w:val="006B6D32"/>
    <w:rsid w:val="006C50BA"/>
    <w:rsid w:val="006C7E9A"/>
    <w:rsid w:val="006D04D8"/>
    <w:rsid w:val="006D68CE"/>
    <w:rsid w:val="006E4287"/>
    <w:rsid w:val="006E4C8E"/>
    <w:rsid w:val="006E7225"/>
    <w:rsid w:val="006F5FEB"/>
    <w:rsid w:val="00701D5E"/>
    <w:rsid w:val="0070270D"/>
    <w:rsid w:val="00702963"/>
    <w:rsid w:val="00703CFC"/>
    <w:rsid w:val="00703F4D"/>
    <w:rsid w:val="0070775C"/>
    <w:rsid w:val="007101E9"/>
    <w:rsid w:val="0071150D"/>
    <w:rsid w:val="00711A06"/>
    <w:rsid w:val="00720675"/>
    <w:rsid w:val="0072294B"/>
    <w:rsid w:val="00731AA4"/>
    <w:rsid w:val="00736108"/>
    <w:rsid w:val="00737005"/>
    <w:rsid w:val="007372CD"/>
    <w:rsid w:val="007422EF"/>
    <w:rsid w:val="007444AE"/>
    <w:rsid w:val="0074764A"/>
    <w:rsid w:val="00747BBE"/>
    <w:rsid w:val="00747CAC"/>
    <w:rsid w:val="00752B24"/>
    <w:rsid w:val="00764E54"/>
    <w:rsid w:val="0076752D"/>
    <w:rsid w:val="00767BAC"/>
    <w:rsid w:val="0077065B"/>
    <w:rsid w:val="00774AD8"/>
    <w:rsid w:val="00776BEE"/>
    <w:rsid w:val="007876D7"/>
    <w:rsid w:val="00790882"/>
    <w:rsid w:val="00792A55"/>
    <w:rsid w:val="00797A50"/>
    <w:rsid w:val="007A0181"/>
    <w:rsid w:val="007A21EE"/>
    <w:rsid w:val="007B2492"/>
    <w:rsid w:val="007B3BB0"/>
    <w:rsid w:val="007C1B64"/>
    <w:rsid w:val="007C2CBE"/>
    <w:rsid w:val="007C420A"/>
    <w:rsid w:val="007C5AA2"/>
    <w:rsid w:val="007D1022"/>
    <w:rsid w:val="007D2A49"/>
    <w:rsid w:val="007D7699"/>
    <w:rsid w:val="007E1CA9"/>
    <w:rsid w:val="007E29C5"/>
    <w:rsid w:val="007E49F3"/>
    <w:rsid w:val="007E51BC"/>
    <w:rsid w:val="007E522C"/>
    <w:rsid w:val="007E7E57"/>
    <w:rsid w:val="007F47A4"/>
    <w:rsid w:val="0080214E"/>
    <w:rsid w:val="0080231C"/>
    <w:rsid w:val="00804542"/>
    <w:rsid w:val="00806170"/>
    <w:rsid w:val="008117FC"/>
    <w:rsid w:val="00817134"/>
    <w:rsid w:val="00821A2F"/>
    <w:rsid w:val="0082281C"/>
    <w:rsid w:val="00822D3F"/>
    <w:rsid w:val="00823456"/>
    <w:rsid w:val="00824F06"/>
    <w:rsid w:val="008257FB"/>
    <w:rsid w:val="00831957"/>
    <w:rsid w:val="008355A3"/>
    <w:rsid w:val="008355D1"/>
    <w:rsid w:val="00836BD2"/>
    <w:rsid w:val="00840DB9"/>
    <w:rsid w:val="00841E40"/>
    <w:rsid w:val="008421C6"/>
    <w:rsid w:val="008455BF"/>
    <w:rsid w:val="00846983"/>
    <w:rsid w:val="008514AB"/>
    <w:rsid w:val="0085448E"/>
    <w:rsid w:val="00860BA1"/>
    <w:rsid w:val="0086615A"/>
    <w:rsid w:val="00866CE3"/>
    <w:rsid w:val="0087079A"/>
    <w:rsid w:val="00870ACA"/>
    <w:rsid w:val="00872168"/>
    <w:rsid w:val="00873C2D"/>
    <w:rsid w:val="00883868"/>
    <w:rsid w:val="008870BE"/>
    <w:rsid w:val="00890177"/>
    <w:rsid w:val="00890A06"/>
    <w:rsid w:val="00890A16"/>
    <w:rsid w:val="00895291"/>
    <w:rsid w:val="008A219A"/>
    <w:rsid w:val="008A4E9B"/>
    <w:rsid w:val="008A7BC0"/>
    <w:rsid w:val="008B16B8"/>
    <w:rsid w:val="008C1CBF"/>
    <w:rsid w:val="008C3B7B"/>
    <w:rsid w:val="008C40C3"/>
    <w:rsid w:val="008D1FDF"/>
    <w:rsid w:val="008D5108"/>
    <w:rsid w:val="008E22F4"/>
    <w:rsid w:val="008E2AF7"/>
    <w:rsid w:val="008E3551"/>
    <w:rsid w:val="008E477E"/>
    <w:rsid w:val="008E6045"/>
    <w:rsid w:val="008F2507"/>
    <w:rsid w:val="008F3CB1"/>
    <w:rsid w:val="0090112A"/>
    <w:rsid w:val="00901797"/>
    <w:rsid w:val="009028FC"/>
    <w:rsid w:val="00903D09"/>
    <w:rsid w:val="00905AF1"/>
    <w:rsid w:val="0090601E"/>
    <w:rsid w:val="00906ECA"/>
    <w:rsid w:val="0090750B"/>
    <w:rsid w:val="00914C9E"/>
    <w:rsid w:val="00914E02"/>
    <w:rsid w:val="00921E9A"/>
    <w:rsid w:val="009239D6"/>
    <w:rsid w:val="00931CBE"/>
    <w:rsid w:val="00933ACA"/>
    <w:rsid w:val="00934C4D"/>
    <w:rsid w:val="00935FA0"/>
    <w:rsid w:val="00937652"/>
    <w:rsid w:val="00937E9A"/>
    <w:rsid w:val="00947FB2"/>
    <w:rsid w:val="00950B52"/>
    <w:rsid w:val="0095209B"/>
    <w:rsid w:val="00955866"/>
    <w:rsid w:val="00956A6F"/>
    <w:rsid w:val="0096213C"/>
    <w:rsid w:val="009625A6"/>
    <w:rsid w:val="00964A6F"/>
    <w:rsid w:val="00965F2D"/>
    <w:rsid w:val="00966500"/>
    <w:rsid w:val="009705DE"/>
    <w:rsid w:val="009707AA"/>
    <w:rsid w:val="0097186C"/>
    <w:rsid w:val="00971977"/>
    <w:rsid w:val="00977775"/>
    <w:rsid w:val="0098342E"/>
    <w:rsid w:val="00986C96"/>
    <w:rsid w:val="009875F5"/>
    <w:rsid w:val="0099151D"/>
    <w:rsid w:val="0099486D"/>
    <w:rsid w:val="00995588"/>
    <w:rsid w:val="00995B22"/>
    <w:rsid w:val="0099655C"/>
    <w:rsid w:val="009A27A0"/>
    <w:rsid w:val="009A3686"/>
    <w:rsid w:val="009A3A41"/>
    <w:rsid w:val="009A59A7"/>
    <w:rsid w:val="009B115C"/>
    <w:rsid w:val="009C130C"/>
    <w:rsid w:val="009C2AB9"/>
    <w:rsid w:val="009C469B"/>
    <w:rsid w:val="009C5EDC"/>
    <w:rsid w:val="009C7B78"/>
    <w:rsid w:val="009D0710"/>
    <w:rsid w:val="009D3D3A"/>
    <w:rsid w:val="009D5169"/>
    <w:rsid w:val="009E42B6"/>
    <w:rsid w:val="009E60D1"/>
    <w:rsid w:val="009F3634"/>
    <w:rsid w:val="009F424B"/>
    <w:rsid w:val="009F66FB"/>
    <w:rsid w:val="009F7945"/>
    <w:rsid w:val="00A01541"/>
    <w:rsid w:val="00A0484A"/>
    <w:rsid w:val="00A07C9F"/>
    <w:rsid w:val="00A122B9"/>
    <w:rsid w:val="00A12CFD"/>
    <w:rsid w:val="00A20822"/>
    <w:rsid w:val="00A26018"/>
    <w:rsid w:val="00A31026"/>
    <w:rsid w:val="00A32C7D"/>
    <w:rsid w:val="00A32EEE"/>
    <w:rsid w:val="00A34428"/>
    <w:rsid w:val="00A34B0E"/>
    <w:rsid w:val="00A36E92"/>
    <w:rsid w:val="00A42021"/>
    <w:rsid w:val="00A4286A"/>
    <w:rsid w:val="00A47E22"/>
    <w:rsid w:val="00A5186C"/>
    <w:rsid w:val="00A53370"/>
    <w:rsid w:val="00A572AE"/>
    <w:rsid w:val="00A573A1"/>
    <w:rsid w:val="00A722DD"/>
    <w:rsid w:val="00A7254F"/>
    <w:rsid w:val="00A76BE8"/>
    <w:rsid w:val="00A7720E"/>
    <w:rsid w:val="00A829C6"/>
    <w:rsid w:val="00A83EA1"/>
    <w:rsid w:val="00A85C68"/>
    <w:rsid w:val="00A86451"/>
    <w:rsid w:val="00A920E8"/>
    <w:rsid w:val="00A979D7"/>
    <w:rsid w:val="00AA1E13"/>
    <w:rsid w:val="00AA7181"/>
    <w:rsid w:val="00AB064B"/>
    <w:rsid w:val="00AB3C9F"/>
    <w:rsid w:val="00AB3CEC"/>
    <w:rsid w:val="00AB799F"/>
    <w:rsid w:val="00AB7B01"/>
    <w:rsid w:val="00AC1284"/>
    <w:rsid w:val="00AC2860"/>
    <w:rsid w:val="00AC49A3"/>
    <w:rsid w:val="00AC57BB"/>
    <w:rsid w:val="00AD473A"/>
    <w:rsid w:val="00AD4A3A"/>
    <w:rsid w:val="00AE00EC"/>
    <w:rsid w:val="00AE275F"/>
    <w:rsid w:val="00AE54CD"/>
    <w:rsid w:val="00AE5503"/>
    <w:rsid w:val="00AE6573"/>
    <w:rsid w:val="00AF0B90"/>
    <w:rsid w:val="00AF0F69"/>
    <w:rsid w:val="00AF178D"/>
    <w:rsid w:val="00AF5B39"/>
    <w:rsid w:val="00AF68C9"/>
    <w:rsid w:val="00AF6C0C"/>
    <w:rsid w:val="00B00057"/>
    <w:rsid w:val="00B07063"/>
    <w:rsid w:val="00B071A8"/>
    <w:rsid w:val="00B101F9"/>
    <w:rsid w:val="00B210F5"/>
    <w:rsid w:val="00B26BD2"/>
    <w:rsid w:val="00B27EC2"/>
    <w:rsid w:val="00B30CCB"/>
    <w:rsid w:val="00B310F1"/>
    <w:rsid w:val="00B3136A"/>
    <w:rsid w:val="00B3721D"/>
    <w:rsid w:val="00B404B3"/>
    <w:rsid w:val="00B412D6"/>
    <w:rsid w:val="00B4697A"/>
    <w:rsid w:val="00B61BB1"/>
    <w:rsid w:val="00B61F91"/>
    <w:rsid w:val="00B62DE4"/>
    <w:rsid w:val="00B62EF9"/>
    <w:rsid w:val="00B63D52"/>
    <w:rsid w:val="00B642DB"/>
    <w:rsid w:val="00B6581E"/>
    <w:rsid w:val="00B65CC9"/>
    <w:rsid w:val="00B676A8"/>
    <w:rsid w:val="00B75C5B"/>
    <w:rsid w:val="00B83E60"/>
    <w:rsid w:val="00B855FE"/>
    <w:rsid w:val="00B865D5"/>
    <w:rsid w:val="00B904C0"/>
    <w:rsid w:val="00B92702"/>
    <w:rsid w:val="00B96F67"/>
    <w:rsid w:val="00BA0BAF"/>
    <w:rsid w:val="00BA336C"/>
    <w:rsid w:val="00BA718B"/>
    <w:rsid w:val="00BB0392"/>
    <w:rsid w:val="00BB305A"/>
    <w:rsid w:val="00BB6BD2"/>
    <w:rsid w:val="00BC37B1"/>
    <w:rsid w:val="00BC3BDD"/>
    <w:rsid w:val="00BC51F9"/>
    <w:rsid w:val="00BD1F7F"/>
    <w:rsid w:val="00BD5317"/>
    <w:rsid w:val="00BD53D7"/>
    <w:rsid w:val="00BE49AC"/>
    <w:rsid w:val="00BE67C0"/>
    <w:rsid w:val="00BE7445"/>
    <w:rsid w:val="00BF0CD4"/>
    <w:rsid w:val="00BF364B"/>
    <w:rsid w:val="00BF59C7"/>
    <w:rsid w:val="00BF5B05"/>
    <w:rsid w:val="00C0247A"/>
    <w:rsid w:val="00C03513"/>
    <w:rsid w:val="00C05C1B"/>
    <w:rsid w:val="00C06A72"/>
    <w:rsid w:val="00C11A6C"/>
    <w:rsid w:val="00C16EE1"/>
    <w:rsid w:val="00C22DA3"/>
    <w:rsid w:val="00C31042"/>
    <w:rsid w:val="00C32EB4"/>
    <w:rsid w:val="00C41E92"/>
    <w:rsid w:val="00C424E3"/>
    <w:rsid w:val="00C44EAE"/>
    <w:rsid w:val="00C46F28"/>
    <w:rsid w:val="00C52E25"/>
    <w:rsid w:val="00C56397"/>
    <w:rsid w:val="00C61AE0"/>
    <w:rsid w:val="00C625BC"/>
    <w:rsid w:val="00C67A69"/>
    <w:rsid w:val="00C67D0D"/>
    <w:rsid w:val="00C70D30"/>
    <w:rsid w:val="00C72DBF"/>
    <w:rsid w:val="00C82B74"/>
    <w:rsid w:val="00C83D28"/>
    <w:rsid w:val="00C85264"/>
    <w:rsid w:val="00C943AD"/>
    <w:rsid w:val="00C94749"/>
    <w:rsid w:val="00C96837"/>
    <w:rsid w:val="00CA2785"/>
    <w:rsid w:val="00CA2FC1"/>
    <w:rsid w:val="00CA3407"/>
    <w:rsid w:val="00CA3476"/>
    <w:rsid w:val="00CA4050"/>
    <w:rsid w:val="00CA59FD"/>
    <w:rsid w:val="00CA6EA8"/>
    <w:rsid w:val="00CB3966"/>
    <w:rsid w:val="00CB3F71"/>
    <w:rsid w:val="00CB5A7B"/>
    <w:rsid w:val="00CB77E4"/>
    <w:rsid w:val="00CC405B"/>
    <w:rsid w:val="00CC754C"/>
    <w:rsid w:val="00CD47E8"/>
    <w:rsid w:val="00CD6EA0"/>
    <w:rsid w:val="00CE0364"/>
    <w:rsid w:val="00CE27BE"/>
    <w:rsid w:val="00CE6047"/>
    <w:rsid w:val="00CE65D9"/>
    <w:rsid w:val="00CE6B4C"/>
    <w:rsid w:val="00CF1750"/>
    <w:rsid w:val="00CF26AB"/>
    <w:rsid w:val="00CF2DD4"/>
    <w:rsid w:val="00CF4116"/>
    <w:rsid w:val="00CF5C4C"/>
    <w:rsid w:val="00CF6133"/>
    <w:rsid w:val="00CF6EBF"/>
    <w:rsid w:val="00CF7E3E"/>
    <w:rsid w:val="00D00574"/>
    <w:rsid w:val="00D016FA"/>
    <w:rsid w:val="00D02494"/>
    <w:rsid w:val="00D06817"/>
    <w:rsid w:val="00D15145"/>
    <w:rsid w:val="00D162A4"/>
    <w:rsid w:val="00D20BA2"/>
    <w:rsid w:val="00D21525"/>
    <w:rsid w:val="00D27A00"/>
    <w:rsid w:val="00D3093F"/>
    <w:rsid w:val="00D31025"/>
    <w:rsid w:val="00D31AED"/>
    <w:rsid w:val="00D32395"/>
    <w:rsid w:val="00D36F3B"/>
    <w:rsid w:val="00D435CC"/>
    <w:rsid w:val="00D46F8A"/>
    <w:rsid w:val="00D5207D"/>
    <w:rsid w:val="00D526E1"/>
    <w:rsid w:val="00D7663F"/>
    <w:rsid w:val="00D84559"/>
    <w:rsid w:val="00D85BBF"/>
    <w:rsid w:val="00D9093C"/>
    <w:rsid w:val="00DA0D5B"/>
    <w:rsid w:val="00DA319A"/>
    <w:rsid w:val="00DA4DF7"/>
    <w:rsid w:val="00DA5FEC"/>
    <w:rsid w:val="00DB01F6"/>
    <w:rsid w:val="00DB05E6"/>
    <w:rsid w:val="00DB06ED"/>
    <w:rsid w:val="00DB1442"/>
    <w:rsid w:val="00DB150D"/>
    <w:rsid w:val="00DB1613"/>
    <w:rsid w:val="00DB2950"/>
    <w:rsid w:val="00DB605D"/>
    <w:rsid w:val="00DC1267"/>
    <w:rsid w:val="00DC159D"/>
    <w:rsid w:val="00DC629A"/>
    <w:rsid w:val="00DD2CA7"/>
    <w:rsid w:val="00DD343C"/>
    <w:rsid w:val="00DE2810"/>
    <w:rsid w:val="00DE7E28"/>
    <w:rsid w:val="00DF11B1"/>
    <w:rsid w:val="00DF337D"/>
    <w:rsid w:val="00E018BD"/>
    <w:rsid w:val="00E02981"/>
    <w:rsid w:val="00E02995"/>
    <w:rsid w:val="00E02CE5"/>
    <w:rsid w:val="00E058BB"/>
    <w:rsid w:val="00E06988"/>
    <w:rsid w:val="00E07F4C"/>
    <w:rsid w:val="00E10CDE"/>
    <w:rsid w:val="00E179FF"/>
    <w:rsid w:val="00E17B01"/>
    <w:rsid w:val="00E17E3A"/>
    <w:rsid w:val="00E23625"/>
    <w:rsid w:val="00E236ED"/>
    <w:rsid w:val="00E24A50"/>
    <w:rsid w:val="00E308D1"/>
    <w:rsid w:val="00E33233"/>
    <w:rsid w:val="00E34B5B"/>
    <w:rsid w:val="00E367BD"/>
    <w:rsid w:val="00E418F7"/>
    <w:rsid w:val="00E41921"/>
    <w:rsid w:val="00E55104"/>
    <w:rsid w:val="00E566E4"/>
    <w:rsid w:val="00E57172"/>
    <w:rsid w:val="00E57A99"/>
    <w:rsid w:val="00E620E0"/>
    <w:rsid w:val="00E67074"/>
    <w:rsid w:val="00E728D3"/>
    <w:rsid w:val="00E737A4"/>
    <w:rsid w:val="00E759B4"/>
    <w:rsid w:val="00E77575"/>
    <w:rsid w:val="00E85656"/>
    <w:rsid w:val="00E86E51"/>
    <w:rsid w:val="00E948BA"/>
    <w:rsid w:val="00E94E96"/>
    <w:rsid w:val="00EA1FCE"/>
    <w:rsid w:val="00EA230F"/>
    <w:rsid w:val="00EA3B24"/>
    <w:rsid w:val="00EA3B3B"/>
    <w:rsid w:val="00EA7108"/>
    <w:rsid w:val="00EA71F2"/>
    <w:rsid w:val="00EC2FFA"/>
    <w:rsid w:val="00EC37C7"/>
    <w:rsid w:val="00EC4373"/>
    <w:rsid w:val="00ED1278"/>
    <w:rsid w:val="00ED310E"/>
    <w:rsid w:val="00ED38A9"/>
    <w:rsid w:val="00ED5591"/>
    <w:rsid w:val="00EE0929"/>
    <w:rsid w:val="00EE0F61"/>
    <w:rsid w:val="00EE6F48"/>
    <w:rsid w:val="00EE7649"/>
    <w:rsid w:val="00EE7962"/>
    <w:rsid w:val="00EF1E6B"/>
    <w:rsid w:val="00EF2032"/>
    <w:rsid w:val="00EF2CDD"/>
    <w:rsid w:val="00EF4A90"/>
    <w:rsid w:val="00EF7849"/>
    <w:rsid w:val="00F01DF4"/>
    <w:rsid w:val="00F036D8"/>
    <w:rsid w:val="00F10460"/>
    <w:rsid w:val="00F113A2"/>
    <w:rsid w:val="00F14D9D"/>
    <w:rsid w:val="00F21981"/>
    <w:rsid w:val="00F2277D"/>
    <w:rsid w:val="00F22B59"/>
    <w:rsid w:val="00F31BF7"/>
    <w:rsid w:val="00F32A38"/>
    <w:rsid w:val="00F32BA6"/>
    <w:rsid w:val="00F32F47"/>
    <w:rsid w:val="00F4445F"/>
    <w:rsid w:val="00F464F9"/>
    <w:rsid w:val="00F473A3"/>
    <w:rsid w:val="00F47DDC"/>
    <w:rsid w:val="00F50AE0"/>
    <w:rsid w:val="00F54CE9"/>
    <w:rsid w:val="00F603A3"/>
    <w:rsid w:val="00F6373C"/>
    <w:rsid w:val="00F731E8"/>
    <w:rsid w:val="00F7374B"/>
    <w:rsid w:val="00F73EBB"/>
    <w:rsid w:val="00F7640E"/>
    <w:rsid w:val="00F76CD4"/>
    <w:rsid w:val="00F76FE0"/>
    <w:rsid w:val="00F82A58"/>
    <w:rsid w:val="00F84703"/>
    <w:rsid w:val="00F85BA9"/>
    <w:rsid w:val="00F86C4E"/>
    <w:rsid w:val="00F90A68"/>
    <w:rsid w:val="00F93686"/>
    <w:rsid w:val="00F94734"/>
    <w:rsid w:val="00FA1BB3"/>
    <w:rsid w:val="00FA6BB0"/>
    <w:rsid w:val="00FA75CA"/>
    <w:rsid w:val="00FB0B6D"/>
    <w:rsid w:val="00FB5AA7"/>
    <w:rsid w:val="00FC429D"/>
    <w:rsid w:val="00FC630D"/>
    <w:rsid w:val="00FD74B3"/>
    <w:rsid w:val="00FD7A63"/>
    <w:rsid w:val="00FE6261"/>
    <w:rsid w:val="00FE67DA"/>
    <w:rsid w:val="00FF51BC"/>
    <w:rsid w:val="00FF5D95"/>
    <w:rsid w:val="00FF6761"/>
    <w:rsid w:val="01223559"/>
    <w:rsid w:val="01462235"/>
    <w:rsid w:val="01F60430"/>
    <w:rsid w:val="021D229B"/>
    <w:rsid w:val="02AD2186"/>
    <w:rsid w:val="02B25C3D"/>
    <w:rsid w:val="02C92162"/>
    <w:rsid w:val="02FA6EF2"/>
    <w:rsid w:val="02FF5E45"/>
    <w:rsid w:val="031C678A"/>
    <w:rsid w:val="0349745F"/>
    <w:rsid w:val="034D1CC8"/>
    <w:rsid w:val="039842CF"/>
    <w:rsid w:val="039B0D7D"/>
    <w:rsid w:val="03F363F6"/>
    <w:rsid w:val="045C354F"/>
    <w:rsid w:val="047E5D41"/>
    <w:rsid w:val="04842AA6"/>
    <w:rsid w:val="04846DD5"/>
    <w:rsid w:val="04B8641E"/>
    <w:rsid w:val="04CA3B18"/>
    <w:rsid w:val="052778F4"/>
    <w:rsid w:val="052F1387"/>
    <w:rsid w:val="05500BDA"/>
    <w:rsid w:val="05DB04A3"/>
    <w:rsid w:val="0604347C"/>
    <w:rsid w:val="062A0934"/>
    <w:rsid w:val="070F4658"/>
    <w:rsid w:val="078D3AFD"/>
    <w:rsid w:val="087F780C"/>
    <w:rsid w:val="088D64EC"/>
    <w:rsid w:val="08BA4CE8"/>
    <w:rsid w:val="090430D9"/>
    <w:rsid w:val="095344A8"/>
    <w:rsid w:val="095B73E3"/>
    <w:rsid w:val="09B47989"/>
    <w:rsid w:val="0A1C108A"/>
    <w:rsid w:val="0A4B1E4A"/>
    <w:rsid w:val="0AE20B0A"/>
    <w:rsid w:val="0B537169"/>
    <w:rsid w:val="0B723658"/>
    <w:rsid w:val="0B9250CB"/>
    <w:rsid w:val="0BC83862"/>
    <w:rsid w:val="0C2B1433"/>
    <w:rsid w:val="0C2B6E7C"/>
    <w:rsid w:val="0C442AE4"/>
    <w:rsid w:val="0C4C1587"/>
    <w:rsid w:val="0C6C7336"/>
    <w:rsid w:val="0CFF300B"/>
    <w:rsid w:val="0D037D85"/>
    <w:rsid w:val="0D451801"/>
    <w:rsid w:val="0D606B2F"/>
    <w:rsid w:val="0DA07183"/>
    <w:rsid w:val="0DA87805"/>
    <w:rsid w:val="0DCD5ABB"/>
    <w:rsid w:val="0DD77462"/>
    <w:rsid w:val="0DFF6A61"/>
    <w:rsid w:val="0E144079"/>
    <w:rsid w:val="0E1D25FC"/>
    <w:rsid w:val="0E2A7D0D"/>
    <w:rsid w:val="0E840700"/>
    <w:rsid w:val="0E9E7E22"/>
    <w:rsid w:val="0ED35847"/>
    <w:rsid w:val="0F042B52"/>
    <w:rsid w:val="0FD06ACB"/>
    <w:rsid w:val="0FFF2388"/>
    <w:rsid w:val="10451C50"/>
    <w:rsid w:val="10464669"/>
    <w:rsid w:val="10772D2F"/>
    <w:rsid w:val="10A2076A"/>
    <w:rsid w:val="10AC13BA"/>
    <w:rsid w:val="10AF1A20"/>
    <w:rsid w:val="111227A8"/>
    <w:rsid w:val="111B02EE"/>
    <w:rsid w:val="111B1D26"/>
    <w:rsid w:val="11606A2D"/>
    <w:rsid w:val="119E2955"/>
    <w:rsid w:val="11AE540E"/>
    <w:rsid w:val="11BA3663"/>
    <w:rsid w:val="11E2071C"/>
    <w:rsid w:val="122F3B48"/>
    <w:rsid w:val="12473DB3"/>
    <w:rsid w:val="12722EA2"/>
    <w:rsid w:val="12BF30B1"/>
    <w:rsid w:val="12CE5D17"/>
    <w:rsid w:val="12D4449D"/>
    <w:rsid w:val="134A6C68"/>
    <w:rsid w:val="134C0C32"/>
    <w:rsid w:val="13655850"/>
    <w:rsid w:val="13BC3A75"/>
    <w:rsid w:val="14BD5114"/>
    <w:rsid w:val="14DF5D99"/>
    <w:rsid w:val="15085D61"/>
    <w:rsid w:val="154E3E6E"/>
    <w:rsid w:val="1579022B"/>
    <w:rsid w:val="15901D10"/>
    <w:rsid w:val="15A449D3"/>
    <w:rsid w:val="160C6494"/>
    <w:rsid w:val="16921052"/>
    <w:rsid w:val="169567F0"/>
    <w:rsid w:val="171B42F2"/>
    <w:rsid w:val="17306EA1"/>
    <w:rsid w:val="173E6C25"/>
    <w:rsid w:val="17856CA7"/>
    <w:rsid w:val="17A75B29"/>
    <w:rsid w:val="180513B0"/>
    <w:rsid w:val="18134C99"/>
    <w:rsid w:val="18434019"/>
    <w:rsid w:val="185714FE"/>
    <w:rsid w:val="188B3EC6"/>
    <w:rsid w:val="19016AF0"/>
    <w:rsid w:val="19035F1E"/>
    <w:rsid w:val="1924255C"/>
    <w:rsid w:val="19DA53FD"/>
    <w:rsid w:val="19E11D95"/>
    <w:rsid w:val="1A1354BF"/>
    <w:rsid w:val="1A166D8D"/>
    <w:rsid w:val="1A1A19D2"/>
    <w:rsid w:val="1A7B3BAB"/>
    <w:rsid w:val="1B016171"/>
    <w:rsid w:val="1B2279AD"/>
    <w:rsid w:val="1B724FAE"/>
    <w:rsid w:val="1BC86E01"/>
    <w:rsid w:val="1C3926AD"/>
    <w:rsid w:val="1C531AB9"/>
    <w:rsid w:val="1C940F54"/>
    <w:rsid w:val="1C996FE2"/>
    <w:rsid w:val="1CFC3E1B"/>
    <w:rsid w:val="1D2D5615"/>
    <w:rsid w:val="1D7946FD"/>
    <w:rsid w:val="1DE74786"/>
    <w:rsid w:val="1DEA7E9E"/>
    <w:rsid w:val="1DEE4026"/>
    <w:rsid w:val="1E210611"/>
    <w:rsid w:val="1E361C38"/>
    <w:rsid w:val="1EA27958"/>
    <w:rsid w:val="1EAA2CB1"/>
    <w:rsid w:val="1ECF4EF5"/>
    <w:rsid w:val="1ED649B9"/>
    <w:rsid w:val="1F026649"/>
    <w:rsid w:val="1F0C571A"/>
    <w:rsid w:val="1F1D16D5"/>
    <w:rsid w:val="1F2573EA"/>
    <w:rsid w:val="1F3446D9"/>
    <w:rsid w:val="1F4D284C"/>
    <w:rsid w:val="1F501AAA"/>
    <w:rsid w:val="1FAE25F1"/>
    <w:rsid w:val="1FB060A0"/>
    <w:rsid w:val="1FE2463C"/>
    <w:rsid w:val="20324395"/>
    <w:rsid w:val="20FC6855"/>
    <w:rsid w:val="217113DA"/>
    <w:rsid w:val="21844BB5"/>
    <w:rsid w:val="21977500"/>
    <w:rsid w:val="21A67B84"/>
    <w:rsid w:val="21FA6DF4"/>
    <w:rsid w:val="21FC7871"/>
    <w:rsid w:val="2210130D"/>
    <w:rsid w:val="22950817"/>
    <w:rsid w:val="22B8599C"/>
    <w:rsid w:val="22BD491D"/>
    <w:rsid w:val="233562BF"/>
    <w:rsid w:val="23384D2F"/>
    <w:rsid w:val="23464DE4"/>
    <w:rsid w:val="237E56C3"/>
    <w:rsid w:val="24030E16"/>
    <w:rsid w:val="244A678E"/>
    <w:rsid w:val="249825F1"/>
    <w:rsid w:val="24992D0D"/>
    <w:rsid w:val="24AC023E"/>
    <w:rsid w:val="24CF5954"/>
    <w:rsid w:val="252235A1"/>
    <w:rsid w:val="25C14F7B"/>
    <w:rsid w:val="26013B1B"/>
    <w:rsid w:val="261920E3"/>
    <w:rsid w:val="261E1534"/>
    <w:rsid w:val="26B17905"/>
    <w:rsid w:val="26B97F35"/>
    <w:rsid w:val="26D24169"/>
    <w:rsid w:val="27174C5C"/>
    <w:rsid w:val="2741210B"/>
    <w:rsid w:val="27660DD0"/>
    <w:rsid w:val="276A7481"/>
    <w:rsid w:val="277551B2"/>
    <w:rsid w:val="279173E5"/>
    <w:rsid w:val="27F73F78"/>
    <w:rsid w:val="281C0984"/>
    <w:rsid w:val="28744BDA"/>
    <w:rsid w:val="2893480E"/>
    <w:rsid w:val="29223335"/>
    <w:rsid w:val="298F67ED"/>
    <w:rsid w:val="29B03871"/>
    <w:rsid w:val="29E85DEA"/>
    <w:rsid w:val="2A56543D"/>
    <w:rsid w:val="2A737E44"/>
    <w:rsid w:val="2ABB7B25"/>
    <w:rsid w:val="2B547350"/>
    <w:rsid w:val="2B7D771F"/>
    <w:rsid w:val="2C195BCB"/>
    <w:rsid w:val="2C2A7D12"/>
    <w:rsid w:val="2CAD701C"/>
    <w:rsid w:val="2CD33817"/>
    <w:rsid w:val="2D095824"/>
    <w:rsid w:val="2D5672B1"/>
    <w:rsid w:val="2DC51013"/>
    <w:rsid w:val="2DCF44E2"/>
    <w:rsid w:val="2DDE2EA9"/>
    <w:rsid w:val="2E565B2A"/>
    <w:rsid w:val="2E6812E3"/>
    <w:rsid w:val="2E7C4629"/>
    <w:rsid w:val="2EC64B5C"/>
    <w:rsid w:val="2ED400C3"/>
    <w:rsid w:val="2F9000D8"/>
    <w:rsid w:val="2FBB4D1E"/>
    <w:rsid w:val="303F591A"/>
    <w:rsid w:val="3047087F"/>
    <w:rsid w:val="307318E5"/>
    <w:rsid w:val="307F00FF"/>
    <w:rsid w:val="3093267C"/>
    <w:rsid w:val="30D52967"/>
    <w:rsid w:val="30F6610E"/>
    <w:rsid w:val="30F7475C"/>
    <w:rsid w:val="310D5422"/>
    <w:rsid w:val="3142692F"/>
    <w:rsid w:val="31541DBA"/>
    <w:rsid w:val="315B627C"/>
    <w:rsid w:val="316A449E"/>
    <w:rsid w:val="31AE1FC7"/>
    <w:rsid w:val="31D22BF9"/>
    <w:rsid w:val="323F180D"/>
    <w:rsid w:val="329C4ED3"/>
    <w:rsid w:val="32E65787"/>
    <w:rsid w:val="32F100BD"/>
    <w:rsid w:val="33184235"/>
    <w:rsid w:val="336F02F9"/>
    <w:rsid w:val="33894BCA"/>
    <w:rsid w:val="33B72A4E"/>
    <w:rsid w:val="341A21EB"/>
    <w:rsid w:val="34515C51"/>
    <w:rsid w:val="34747AA0"/>
    <w:rsid w:val="348807AF"/>
    <w:rsid w:val="34BD32E6"/>
    <w:rsid w:val="34F16D04"/>
    <w:rsid w:val="35335A0B"/>
    <w:rsid w:val="356674DA"/>
    <w:rsid w:val="35DE09C9"/>
    <w:rsid w:val="36483084"/>
    <w:rsid w:val="366B04D8"/>
    <w:rsid w:val="36B10C29"/>
    <w:rsid w:val="37425D25"/>
    <w:rsid w:val="376408CA"/>
    <w:rsid w:val="37774228"/>
    <w:rsid w:val="382B5A14"/>
    <w:rsid w:val="382D4AFA"/>
    <w:rsid w:val="386332C5"/>
    <w:rsid w:val="387B0309"/>
    <w:rsid w:val="38A62FFD"/>
    <w:rsid w:val="39162FC5"/>
    <w:rsid w:val="3946701A"/>
    <w:rsid w:val="3951617D"/>
    <w:rsid w:val="3965233F"/>
    <w:rsid w:val="397A17A6"/>
    <w:rsid w:val="398805E1"/>
    <w:rsid w:val="399D78C9"/>
    <w:rsid w:val="39B822CE"/>
    <w:rsid w:val="3A0948D8"/>
    <w:rsid w:val="3A3A2CE3"/>
    <w:rsid w:val="3A40479E"/>
    <w:rsid w:val="3A5B2F18"/>
    <w:rsid w:val="3A7206CF"/>
    <w:rsid w:val="3A8C3FB2"/>
    <w:rsid w:val="3AE01BB1"/>
    <w:rsid w:val="3B111C96"/>
    <w:rsid w:val="3B5D3537"/>
    <w:rsid w:val="3B5E12EE"/>
    <w:rsid w:val="3B6A3D00"/>
    <w:rsid w:val="3B6B0611"/>
    <w:rsid w:val="3B8C5F20"/>
    <w:rsid w:val="3C23409E"/>
    <w:rsid w:val="3C4B2A92"/>
    <w:rsid w:val="3C8446EA"/>
    <w:rsid w:val="3C907271"/>
    <w:rsid w:val="3CCB2319"/>
    <w:rsid w:val="3CCD78D1"/>
    <w:rsid w:val="3DC43669"/>
    <w:rsid w:val="3DD95EA7"/>
    <w:rsid w:val="3E1201FF"/>
    <w:rsid w:val="3E3F2623"/>
    <w:rsid w:val="3ED63CC3"/>
    <w:rsid w:val="3ED74FA5"/>
    <w:rsid w:val="3F5B28AF"/>
    <w:rsid w:val="40766BEC"/>
    <w:rsid w:val="409444EC"/>
    <w:rsid w:val="40BF72D0"/>
    <w:rsid w:val="40D6429F"/>
    <w:rsid w:val="415A7EE6"/>
    <w:rsid w:val="415B3921"/>
    <w:rsid w:val="41761CA7"/>
    <w:rsid w:val="41952DE5"/>
    <w:rsid w:val="41B07342"/>
    <w:rsid w:val="421B005B"/>
    <w:rsid w:val="422A4671"/>
    <w:rsid w:val="422C77ED"/>
    <w:rsid w:val="42546C78"/>
    <w:rsid w:val="42C767AD"/>
    <w:rsid w:val="43041BFB"/>
    <w:rsid w:val="433B331D"/>
    <w:rsid w:val="43C41AA5"/>
    <w:rsid w:val="44036F11"/>
    <w:rsid w:val="443324D8"/>
    <w:rsid w:val="4442446E"/>
    <w:rsid w:val="44477A39"/>
    <w:rsid w:val="445242F6"/>
    <w:rsid w:val="448462B0"/>
    <w:rsid w:val="44A57C2A"/>
    <w:rsid w:val="44BA514C"/>
    <w:rsid w:val="44DF070A"/>
    <w:rsid w:val="452847AC"/>
    <w:rsid w:val="454B049A"/>
    <w:rsid w:val="456D4695"/>
    <w:rsid w:val="45C51EAA"/>
    <w:rsid w:val="45FA7D68"/>
    <w:rsid w:val="45FB5F58"/>
    <w:rsid w:val="4601706A"/>
    <w:rsid w:val="468B15BF"/>
    <w:rsid w:val="46FF778E"/>
    <w:rsid w:val="47592AC8"/>
    <w:rsid w:val="47C022EA"/>
    <w:rsid w:val="4899611A"/>
    <w:rsid w:val="48BD23D3"/>
    <w:rsid w:val="48CA205A"/>
    <w:rsid w:val="49DC3ED6"/>
    <w:rsid w:val="49EB7B56"/>
    <w:rsid w:val="49F43B22"/>
    <w:rsid w:val="49F4637B"/>
    <w:rsid w:val="49F802CC"/>
    <w:rsid w:val="4A2117CA"/>
    <w:rsid w:val="4AA85A47"/>
    <w:rsid w:val="4AD11442"/>
    <w:rsid w:val="4AF0069C"/>
    <w:rsid w:val="4B6B71A0"/>
    <w:rsid w:val="4C170202"/>
    <w:rsid w:val="4C5D160E"/>
    <w:rsid w:val="4CC27294"/>
    <w:rsid w:val="4CD545C9"/>
    <w:rsid w:val="4D266AF1"/>
    <w:rsid w:val="4D3E079F"/>
    <w:rsid w:val="4D535BB7"/>
    <w:rsid w:val="4D8018F1"/>
    <w:rsid w:val="4D924EB8"/>
    <w:rsid w:val="4DAA338D"/>
    <w:rsid w:val="4DB43481"/>
    <w:rsid w:val="4DFA7D9E"/>
    <w:rsid w:val="4EB64BD7"/>
    <w:rsid w:val="4ECF25E0"/>
    <w:rsid w:val="4EEB7CA9"/>
    <w:rsid w:val="4F684387"/>
    <w:rsid w:val="4FEB01C7"/>
    <w:rsid w:val="500A342C"/>
    <w:rsid w:val="50106568"/>
    <w:rsid w:val="50324731"/>
    <w:rsid w:val="507C775A"/>
    <w:rsid w:val="510065DD"/>
    <w:rsid w:val="512B7CD4"/>
    <w:rsid w:val="514905B5"/>
    <w:rsid w:val="51853F75"/>
    <w:rsid w:val="518B020A"/>
    <w:rsid w:val="51C42211"/>
    <w:rsid w:val="51D341D6"/>
    <w:rsid w:val="51D743B8"/>
    <w:rsid w:val="522A757C"/>
    <w:rsid w:val="52445A58"/>
    <w:rsid w:val="52650ECC"/>
    <w:rsid w:val="52724AB1"/>
    <w:rsid w:val="5360246E"/>
    <w:rsid w:val="538C4FF4"/>
    <w:rsid w:val="538D3CAA"/>
    <w:rsid w:val="53AC4C18"/>
    <w:rsid w:val="53D25467"/>
    <w:rsid w:val="545C0256"/>
    <w:rsid w:val="54A92AE8"/>
    <w:rsid w:val="553D1BAE"/>
    <w:rsid w:val="55BC2D3B"/>
    <w:rsid w:val="55D65B5E"/>
    <w:rsid w:val="55D71E8C"/>
    <w:rsid w:val="56580702"/>
    <w:rsid w:val="568E6439"/>
    <w:rsid w:val="56C65BD3"/>
    <w:rsid w:val="56F85B30"/>
    <w:rsid w:val="570F2729"/>
    <w:rsid w:val="573C7BEA"/>
    <w:rsid w:val="57AA6DDA"/>
    <w:rsid w:val="57D9143D"/>
    <w:rsid w:val="584642EB"/>
    <w:rsid w:val="5872170E"/>
    <w:rsid w:val="58B855F4"/>
    <w:rsid w:val="58C33A6C"/>
    <w:rsid w:val="58D30969"/>
    <w:rsid w:val="58D86810"/>
    <w:rsid w:val="59382F53"/>
    <w:rsid w:val="59573775"/>
    <w:rsid w:val="596E05AA"/>
    <w:rsid w:val="597F3659"/>
    <w:rsid w:val="59927FEE"/>
    <w:rsid w:val="59B66E68"/>
    <w:rsid w:val="5A05201A"/>
    <w:rsid w:val="5A0838EA"/>
    <w:rsid w:val="5A096502"/>
    <w:rsid w:val="5A3B68D8"/>
    <w:rsid w:val="5A63421E"/>
    <w:rsid w:val="5A6B3970"/>
    <w:rsid w:val="5AA3501C"/>
    <w:rsid w:val="5AB165B1"/>
    <w:rsid w:val="5ADE5150"/>
    <w:rsid w:val="5AE85F5F"/>
    <w:rsid w:val="5B0B44FC"/>
    <w:rsid w:val="5B866785"/>
    <w:rsid w:val="5BD7618C"/>
    <w:rsid w:val="5C677ECC"/>
    <w:rsid w:val="5D5A6757"/>
    <w:rsid w:val="5DCD2ABA"/>
    <w:rsid w:val="5F445DE8"/>
    <w:rsid w:val="5FCA04E2"/>
    <w:rsid w:val="5FE80968"/>
    <w:rsid w:val="601A1818"/>
    <w:rsid w:val="606B4658"/>
    <w:rsid w:val="607D5554"/>
    <w:rsid w:val="60D42C45"/>
    <w:rsid w:val="60D57568"/>
    <w:rsid w:val="6129748A"/>
    <w:rsid w:val="616D6DFA"/>
    <w:rsid w:val="617A3172"/>
    <w:rsid w:val="61BA4586"/>
    <w:rsid w:val="62B857F3"/>
    <w:rsid w:val="62F7085A"/>
    <w:rsid w:val="62F94650"/>
    <w:rsid w:val="62FD1DA2"/>
    <w:rsid w:val="63383589"/>
    <w:rsid w:val="63412AAC"/>
    <w:rsid w:val="63AD5074"/>
    <w:rsid w:val="640306F3"/>
    <w:rsid w:val="649675DA"/>
    <w:rsid w:val="64B96A68"/>
    <w:rsid w:val="64C13FD4"/>
    <w:rsid w:val="652137D3"/>
    <w:rsid w:val="65A92B06"/>
    <w:rsid w:val="65E73470"/>
    <w:rsid w:val="66A31F4D"/>
    <w:rsid w:val="66AD03D7"/>
    <w:rsid w:val="66B62A97"/>
    <w:rsid w:val="67063403"/>
    <w:rsid w:val="672256C2"/>
    <w:rsid w:val="67267484"/>
    <w:rsid w:val="67395F4D"/>
    <w:rsid w:val="673D0876"/>
    <w:rsid w:val="6760140E"/>
    <w:rsid w:val="676D4DFE"/>
    <w:rsid w:val="67BB791E"/>
    <w:rsid w:val="67D06633"/>
    <w:rsid w:val="680C64B8"/>
    <w:rsid w:val="6813581D"/>
    <w:rsid w:val="68246BFD"/>
    <w:rsid w:val="68251524"/>
    <w:rsid w:val="682E5386"/>
    <w:rsid w:val="688651C2"/>
    <w:rsid w:val="68AB6EB0"/>
    <w:rsid w:val="690A5DF3"/>
    <w:rsid w:val="691B6793"/>
    <w:rsid w:val="6980615C"/>
    <w:rsid w:val="6A0C061B"/>
    <w:rsid w:val="6A0F5175"/>
    <w:rsid w:val="6A211CE5"/>
    <w:rsid w:val="6AC33B8D"/>
    <w:rsid w:val="6ADF6E0B"/>
    <w:rsid w:val="6B235906"/>
    <w:rsid w:val="6B6E6157"/>
    <w:rsid w:val="6BE8703F"/>
    <w:rsid w:val="6BF23936"/>
    <w:rsid w:val="6C582A3C"/>
    <w:rsid w:val="6C9B1B05"/>
    <w:rsid w:val="6CA44912"/>
    <w:rsid w:val="6CB32F5C"/>
    <w:rsid w:val="6CBF4278"/>
    <w:rsid w:val="6CC43F5E"/>
    <w:rsid w:val="6CDE55CC"/>
    <w:rsid w:val="6CF525C8"/>
    <w:rsid w:val="6D0B213A"/>
    <w:rsid w:val="6D3C0581"/>
    <w:rsid w:val="6D4D33D8"/>
    <w:rsid w:val="6D5F080C"/>
    <w:rsid w:val="6D763C20"/>
    <w:rsid w:val="6D77372B"/>
    <w:rsid w:val="6E057DB2"/>
    <w:rsid w:val="6E8408DA"/>
    <w:rsid w:val="6EA079C0"/>
    <w:rsid w:val="6EBE032E"/>
    <w:rsid w:val="6EFB5A89"/>
    <w:rsid w:val="6F073CD2"/>
    <w:rsid w:val="6F184CB4"/>
    <w:rsid w:val="6F4B1FB9"/>
    <w:rsid w:val="6F9C0D1A"/>
    <w:rsid w:val="6FB31727"/>
    <w:rsid w:val="6FCD2D4F"/>
    <w:rsid w:val="6FEC1A9E"/>
    <w:rsid w:val="6FF677BA"/>
    <w:rsid w:val="704A2F79"/>
    <w:rsid w:val="705967D3"/>
    <w:rsid w:val="70641B61"/>
    <w:rsid w:val="71253A25"/>
    <w:rsid w:val="713B2A1B"/>
    <w:rsid w:val="715E0962"/>
    <w:rsid w:val="71794B59"/>
    <w:rsid w:val="71855AEF"/>
    <w:rsid w:val="719D47F2"/>
    <w:rsid w:val="71E02949"/>
    <w:rsid w:val="723E0A6C"/>
    <w:rsid w:val="723E572B"/>
    <w:rsid w:val="729329B5"/>
    <w:rsid w:val="72D44160"/>
    <w:rsid w:val="730168D6"/>
    <w:rsid w:val="736810C4"/>
    <w:rsid w:val="73867DE4"/>
    <w:rsid w:val="73C86673"/>
    <w:rsid w:val="74CD402D"/>
    <w:rsid w:val="74E21577"/>
    <w:rsid w:val="74E50DAE"/>
    <w:rsid w:val="74EE435D"/>
    <w:rsid w:val="750F227C"/>
    <w:rsid w:val="75181BDD"/>
    <w:rsid w:val="75322959"/>
    <w:rsid w:val="755D6886"/>
    <w:rsid w:val="75853003"/>
    <w:rsid w:val="75A66F64"/>
    <w:rsid w:val="75D43A11"/>
    <w:rsid w:val="75FF68E7"/>
    <w:rsid w:val="76504DA4"/>
    <w:rsid w:val="765336FE"/>
    <w:rsid w:val="76964A01"/>
    <w:rsid w:val="76B34C0F"/>
    <w:rsid w:val="76F25221"/>
    <w:rsid w:val="770C6B71"/>
    <w:rsid w:val="771A18F7"/>
    <w:rsid w:val="77221320"/>
    <w:rsid w:val="77495AB7"/>
    <w:rsid w:val="77AC6BAC"/>
    <w:rsid w:val="77BB1629"/>
    <w:rsid w:val="78014865"/>
    <w:rsid w:val="78197E01"/>
    <w:rsid w:val="78272F4E"/>
    <w:rsid w:val="78F13F3B"/>
    <w:rsid w:val="78FE0FC6"/>
    <w:rsid w:val="7A35049E"/>
    <w:rsid w:val="7AAC0AB8"/>
    <w:rsid w:val="7AB64072"/>
    <w:rsid w:val="7B05200B"/>
    <w:rsid w:val="7B181CD7"/>
    <w:rsid w:val="7B2335C6"/>
    <w:rsid w:val="7B503065"/>
    <w:rsid w:val="7B79797E"/>
    <w:rsid w:val="7C1A4147"/>
    <w:rsid w:val="7C405474"/>
    <w:rsid w:val="7C6E6004"/>
    <w:rsid w:val="7C80494F"/>
    <w:rsid w:val="7CF107D5"/>
    <w:rsid w:val="7D4639B2"/>
    <w:rsid w:val="7D4F3293"/>
    <w:rsid w:val="7D6E41A0"/>
    <w:rsid w:val="7D76092F"/>
    <w:rsid w:val="7D782ED3"/>
    <w:rsid w:val="7DA16201"/>
    <w:rsid w:val="7DA41F1A"/>
    <w:rsid w:val="7E0C6A36"/>
    <w:rsid w:val="7E8104AE"/>
    <w:rsid w:val="7F042C4B"/>
    <w:rsid w:val="7F166E48"/>
    <w:rsid w:val="7F3B68AE"/>
    <w:rsid w:val="7F517EBE"/>
    <w:rsid w:val="7F5E434B"/>
    <w:rsid w:val="7F761695"/>
    <w:rsid w:val="7FBF3B8C"/>
    <w:rsid w:val="7FC20D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semiHidden="0" w:name="heading 3" w:locked="1"/>
    <w:lsdException w:qFormat="1" w:uiPriority="0" w:name="heading 4" w:locked="1"/>
    <w:lsdException w:qFormat="1" w:uiPriority="0" w:name="heading 5" w:locked="1"/>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40" w:lineRule="exact"/>
      <w:ind w:firstLine="641"/>
      <w:jc w:val="both"/>
    </w:pPr>
    <w:rPr>
      <w:rFonts w:ascii="Times New Roman" w:hAnsi="Times New Roman" w:eastAsia="仿宋_GB2312" w:cs="Times New Roman"/>
      <w:kern w:val="2"/>
      <w:sz w:val="32"/>
      <w:szCs w:val="22"/>
      <w:lang w:val="en-US" w:eastAsia="zh-CN" w:bidi="ar-SA"/>
    </w:rPr>
  </w:style>
  <w:style w:type="paragraph" w:styleId="3">
    <w:name w:val="heading 2"/>
    <w:basedOn w:val="1"/>
    <w:next w:val="1"/>
    <w:link w:val="16"/>
    <w:qFormat/>
    <w:uiPriority w:val="99"/>
    <w:pPr>
      <w:widowControl/>
      <w:spacing w:before="200" w:line="271" w:lineRule="auto"/>
      <w:jc w:val="left"/>
      <w:outlineLvl w:val="1"/>
    </w:pPr>
    <w:rPr>
      <w:rFonts w:ascii="Cambria" w:hAnsi="Cambria"/>
      <w:smallCaps/>
      <w:kern w:val="0"/>
      <w:sz w:val="28"/>
      <w:szCs w:val="28"/>
      <w:lang w:eastAsia="en-US"/>
    </w:rPr>
  </w:style>
  <w:style w:type="paragraph" w:styleId="4">
    <w:name w:val="heading 3"/>
    <w:basedOn w:val="1"/>
    <w:next w:val="1"/>
    <w:link w:val="28"/>
    <w:unhideWhenUsed/>
    <w:qFormat/>
    <w:locked/>
    <w:uiPriority w:val="0"/>
    <w:pPr>
      <w:keepNext/>
      <w:keepLines/>
      <w:spacing w:before="260" w:after="260" w:line="416" w:lineRule="atLeast"/>
      <w:outlineLvl w:val="2"/>
    </w:pPr>
    <w:rPr>
      <w:b/>
      <w:bCs/>
      <w:szCs w:val="32"/>
    </w:rPr>
  </w:style>
  <w:style w:type="paragraph" w:styleId="5">
    <w:name w:val="heading 6"/>
    <w:basedOn w:val="1"/>
    <w:next w:val="1"/>
    <w:link w:val="17"/>
    <w:qFormat/>
    <w:uiPriority w:val="99"/>
    <w:pPr>
      <w:keepNext/>
      <w:keepLines/>
      <w:spacing w:before="240" w:after="64" w:line="320" w:lineRule="auto"/>
      <w:outlineLvl w:val="5"/>
    </w:pPr>
    <w:rPr>
      <w:rFonts w:ascii="Cambria" w:hAnsi="Cambria"/>
      <w:b/>
      <w:bCs/>
      <w:sz w:val="24"/>
      <w:szCs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napToGrid w:val="0"/>
      <w:spacing w:before="25" w:after="25"/>
    </w:pPr>
    <w:rPr>
      <w:rFonts w:ascii="Calibri" w:hAnsi="Calibri" w:eastAsia="Calibri"/>
      <w:bCs/>
      <w:spacing w:val="10"/>
      <w:sz w:val="24"/>
      <w:szCs w:val="20"/>
      <w:lang w:eastAsia="en-US"/>
    </w:rPr>
  </w:style>
  <w:style w:type="paragraph" w:styleId="6">
    <w:name w:val="annotation text"/>
    <w:basedOn w:val="1"/>
    <w:semiHidden/>
    <w:unhideWhenUsed/>
    <w:qFormat/>
    <w:uiPriority w:val="99"/>
    <w:pPr>
      <w:jc w:val="left"/>
    </w:pPr>
  </w:style>
  <w:style w:type="paragraph" w:styleId="7">
    <w:name w:val="Balloon Text"/>
    <w:basedOn w:val="1"/>
    <w:link w:val="27"/>
    <w:semiHidden/>
    <w:unhideWhenUsed/>
    <w:qFormat/>
    <w:uiPriority w:val="99"/>
    <w:pPr>
      <w:spacing w:line="240" w:lineRule="auto"/>
    </w:pPr>
    <w:rPr>
      <w:sz w:val="18"/>
      <w:szCs w:val="18"/>
    </w:rPr>
  </w:style>
  <w:style w:type="paragraph" w:styleId="8">
    <w:name w:val="footer"/>
    <w:basedOn w:val="1"/>
    <w:link w:val="26"/>
    <w:unhideWhenUsed/>
    <w:qFormat/>
    <w:uiPriority w:val="99"/>
    <w:pPr>
      <w:tabs>
        <w:tab w:val="center" w:pos="4153"/>
        <w:tab w:val="right" w:pos="8306"/>
      </w:tabs>
      <w:snapToGrid w:val="0"/>
      <w:spacing w:line="240" w:lineRule="atLeast"/>
      <w:jc w:val="left"/>
    </w:pPr>
    <w:rPr>
      <w:sz w:val="18"/>
      <w:szCs w:val="18"/>
    </w:rPr>
  </w:style>
  <w:style w:type="paragraph" w:styleId="9">
    <w:name w:val="header"/>
    <w:basedOn w:val="1"/>
    <w:link w:val="25"/>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0">
    <w:name w:val="Subtitle"/>
    <w:basedOn w:val="1"/>
    <w:next w:val="1"/>
    <w:link w:val="29"/>
    <w:qFormat/>
    <w:locked/>
    <w:uiPriority w:val="0"/>
    <w:pPr>
      <w:spacing w:before="240" w:after="60" w:line="312" w:lineRule="auto"/>
      <w:jc w:val="center"/>
      <w:outlineLvl w:val="1"/>
    </w:pPr>
    <w:rPr>
      <w:rFonts w:ascii="Cambria" w:hAnsi="Cambria"/>
      <w:b/>
      <w:bCs/>
      <w:kern w:val="28"/>
      <w:szCs w:val="32"/>
    </w:rPr>
  </w:style>
  <w:style w:type="paragraph" w:styleId="11">
    <w:name w:val="Normal (Web)"/>
    <w:basedOn w:val="1"/>
    <w:semiHidden/>
    <w:unhideWhenUsed/>
    <w:qFormat/>
    <w:uiPriority w:val="99"/>
    <w:pPr>
      <w:spacing w:line="240" w:lineRule="auto"/>
      <w:ind w:firstLine="0"/>
    </w:pPr>
    <w:rPr>
      <w:sz w:val="24"/>
      <w:szCs w:val="24"/>
    </w:rPr>
  </w:style>
  <w:style w:type="table" w:styleId="13">
    <w:name w:val="Table Gri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5">
    <w:name w:val="Strong"/>
    <w:basedOn w:val="14"/>
    <w:qFormat/>
    <w:locked/>
    <w:uiPriority w:val="0"/>
    <w:rPr>
      <w:b/>
    </w:rPr>
  </w:style>
  <w:style w:type="character" w:customStyle="1" w:styleId="16">
    <w:name w:val="标题 2 Char"/>
    <w:basedOn w:val="14"/>
    <w:link w:val="3"/>
    <w:qFormat/>
    <w:uiPriority w:val="99"/>
    <w:rPr>
      <w:rFonts w:ascii="Cambria" w:hAnsi="Cambria" w:eastAsia="宋体" w:cs="Times New Roman"/>
      <w:smallCaps/>
      <w:kern w:val="0"/>
      <w:sz w:val="28"/>
      <w:szCs w:val="28"/>
      <w:lang w:eastAsia="en-US"/>
    </w:rPr>
  </w:style>
  <w:style w:type="character" w:customStyle="1" w:styleId="17">
    <w:name w:val="标题 6 Char"/>
    <w:basedOn w:val="14"/>
    <w:link w:val="5"/>
    <w:qFormat/>
    <w:uiPriority w:val="99"/>
    <w:rPr>
      <w:rFonts w:ascii="Cambria" w:hAnsi="Cambria" w:eastAsia="宋体" w:cs="Times New Roman"/>
      <w:b/>
      <w:bCs/>
      <w:sz w:val="24"/>
      <w:szCs w:val="24"/>
    </w:rPr>
  </w:style>
  <w:style w:type="paragraph" w:styleId="18">
    <w:name w:val="List Paragraph"/>
    <w:basedOn w:val="1"/>
    <w:qFormat/>
    <w:uiPriority w:val="34"/>
    <w:pPr>
      <w:ind w:firstLine="420"/>
    </w:pPr>
  </w:style>
  <w:style w:type="paragraph" w:customStyle="1" w:styleId="19">
    <w:name w:val="三级标题"/>
    <w:basedOn w:val="1"/>
    <w:link w:val="20"/>
    <w:qFormat/>
    <w:uiPriority w:val="0"/>
    <w:pPr>
      <w:spacing w:beforeLines="500" w:afterLines="150"/>
    </w:pPr>
    <w:rPr>
      <w:rFonts w:ascii="方正小标宋简体" w:eastAsia="方正小标宋简体"/>
      <w:sz w:val="36"/>
      <w:szCs w:val="36"/>
    </w:rPr>
  </w:style>
  <w:style w:type="character" w:customStyle="1" w:styleId="20">
    <w:name w:val="三级标题 Char"/>
    <w:basedOn w:val="14"/>
    <w:link w:val="19"/>
    <w:qFormat/>
    <w:uiPriority w:val="0"/>
    <w:rPr>
      <w:rFonts w:ascii="方正小标宋简体" w:eastAsia="方正小标宋简体"/>
      <w:kern w:val="2"/>
      <w:sz w:val="36"/>
      <w:szCs w:val="36"/>
    </w:rPr>
  </w:style>
  <w:style w:type="paragraph" w:customStyle="1" w:styleId="21">
    <w:name w:val="四级标题"/>
    <w:basedOn w:val="1"/>
    <w:link w:val="22"/>
    <w:qFormat/>
    <w:uiPriority w:val="0"/>
    <w:pPr>
      <w:ind w:firstLine="480"/>
    </w:pPr>
    <w:rPr>
      <w:rFonts w:ascii="黑体" w:eastAsia="黑体"/>
      <w:sz w:val="24"/>
      <w:szCs w:val="24"/>
    </w:rPr>
  </w:style>
  <w:style w:type="character" w:customStyle="1" w:styleId="22">
    <w:name w:val="四级标题 Char"/>
    <w:basedOn w:val="14"/>
    <w:link w:val="21"/>
    <w:qFormat/>
    <w:uiPriority w:val="0"/>
    <w:rPr>
      <w:rFonts w:ascii="黑体" w:eastAsia="黑体"/>
      <w:sz w:val="24"/>
      <w:szCs w:val="24"/>
    </w:rPr>
  </w:style>
  <w:style w:type="paragraph" w:customStyle="1" w:styleId="23">
    <w:name w:val="标题四"/>
    <w:basedOn w:val="21"/>
    <w:link w:val="24"/>
    <w:qFormat/>
    <w:uiPriority w:val="0"/>
  </w:style>
  <w:style w:type="character" w:customStyle="1" w:styleId="24">
    <w:name w:val="标题四 Char"/>
    <w:basedOn w:val="22"/>
    <w:link w:val="23"/>
    <w:qFormat/>
    <w:uiPriority w:val="0"/>
    <w:rPr>
      <w:rFonts w:ascii="黑体" w:eastAsia="黑体"/>
      <w:sz w:val="24"/>
      <w:szCs w:val="24"/>
    </w:rPr>
  </w:style>
  <w:style w:type="character" w:customStyle="1" w:styleId="25">
    <w:name w:val="页眉 Char"/>
    <w:basedOn w:val="14"/>
    <w:link w:val="9"/>
    <w:qFormat/>
    <w:uiPriority w:val="99"/>
    <w:rPr>
      <w:sz w:val="18"/>
      <w:szCs w:val="18"/>
    </w:rPr>
  </w:style>
  <w:style w:type="character" w:customStyle="1" w:styleId="26">
    <w:name w:val="页脚 Char"/>
    <w:basedOn w:val="14"/>
    <w:link w:val="8"/>
    <w:qFormat/>
    <w:uiPriority w:val="99"/>
    <w:rPr>
      <w:sz w:val="18"/>
      <w:szCs w:val="18"/>
    </w:rPr>
  </w:style>
  <w:style w:type="character" w:customStyle="1" w:styleId="27">
    <w:name w:val="批注框文本 Char"/>
    <w:basedOn w:val="14"/>
    <w:link w:val="7"/>
    <w:semiHidden/>
    <w:qFormat/>
    <w:uiPriority w:val="99"/>
    <w:rPr>
      <w:rFonts w:ascii="Times New Roman" w:hAnsi="Times New Roman" w:eastAsia="仿宋_GB2312"/>
      <w:sz w:val="18"/>
      <w:szCs w:val="18"/>
    </w:rPr>
  </w:style>
  <w:style w:type="character" w:customStyle="1" w:styleId="28">
    <w:name w:val="标题 3 Char"/>
    <w:basedOn w:val="14"/>
    <w:link w:val="4"/>
    <w:qFormat/>
    <w:uiPriority w:val="0"/>
    <w:rPr>
      <w:rFonts w:ascii="Times New Roman" w:hAnsi="Times New Roman" w:eastAsia="仿宋_GB2312" w:cs="Times New Roman"/>
      <w:b/>
      <w:bCs/>
      <w:kern w:val="2"/>
      <w:sz w:val="32"/>
      <w:szCs w:val="32"/>
    </w:rPr>
  </w:style>
  <w:style w:type="character" w:customStyle="1" w:styleId="29">
    <w:name w:val="副标题 Char"/>
    <w:basedOn w:val="14"/>
    <w:link w:val="10"/>
    <w:qFormat/>
    <w:uiPriority w:val="0"/>
    <w:rPr>
      <w:rFonts w:ascii="Cambria" w:hAnsi="Cambria" w:eastAsia="仿宋_GB2312" w:cs="Times New Roman"/>
      <w:b/>
      <w:bCs/>
      <w:kern w:val="28"/>
      <w:sz w:val="32"/>
      <w:szCs w:val="32"/>
    </w:rPr>
  </w:style>
  <w:style w:type="paragraph" w:customStyle="1" w:styleId="30">
    <w:name w:val="null3"/>
    <w:qFormat/>
    <w:uiPriority w:val="0"/>
    <w:rPr>
      <w:rFonts w:hint="eastAsia" w:ascii="Calibri" w:hAnsi="Calibri" w:eastAsia="宋体" w:cs="Times New Roman"/>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8</Pages>
  <Words>2823</Words>
  <Characters>2872</Characters>
  <Lines>40</Lines>
  <Paragraphs>11</Paragraphs>
  <TotalTime>0</TotalTime>
  <ScaleCrop>false</ScaleCrop>
  <LinksUpToDate>false</LinksUpToDate>
  <CharactersWithSpaces>2887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2024-05-16T01:33:00Z</dcterms:created>
  <dc:creator>Sky123.Org</dc:creator>
  <cp:lastModifiedBy>CM</cp:lastModifiedBy>
  <cp:lastPrinted>2025-10-27T10:12:00Z</cp:lastPrinted>
  <dcterms:modified xsi:type="dcterms:W3CDTF">2026-09-02T09:10:44Z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F9C45E81E04D4257B6E35EA51D35A40D_13</vt:lpwstr>
  </property>
  <property fmtid="{D5CDD505-2E9C-101B-9397-08002B2CF9AE}" pid="4" name="KSOTemplateDocerSaveRecord">
    <vt:lpwstr>eyJoZGlkIjoiNjg0NzQ0NmNmYjlhYmM0NDBmZTg1MDM0MTljOTVkODIiLCJ1c2VySWQiOiI0MjMyNjgyNDAifQ==</vt:lpwstr>
  </property>
</Properties>
</file>