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90A5" w14:textId="77777777" w:rsidR="00183134" w:rsidRPr="00183134" w:rsidRDefault="00183134" w:rsidP="00183134">
      <w:pPr>
        <w:spacing w:line="540" w:lineRule="exact"/>
        <w:rPr>
          <w:rFonts w:ascii="Times New Roman" w:eastAsia="仿宋_GB2312" w:hAnsi="Times New Roman" w:cs="Times New Roman"/>
          <w:b/>
          <w:bCs/>
          <w:sz w:val="32"/>
        </w:rPr>
      </w:pPr>
      <w:r w:rsidRPr="00183134">
        <w:rPr>
          <w:rFonts w:ascii="Times New Roman" w:eastAsia="仿宋_GB2312" w:hAnsi="Times New Roman" w:cs="Times New Roman" w:hint="eastAsia"/>
          <w:b/>
          <w:bCs/>
          <w:sz w:val="32"/>
        </w:rPr>
        <w:t>附件</w:t>
      </w:r>
      <w:r w:rsidRPr="00183134">
        <w:rPr>
          <w:rFonts w:ascii="Times New Roman" w:eastAsia="仿宋_GB2312" w:hAnsi="Times New Roman" w:cs="Times New Roman" w:hint="eastAsia"/>
          <w:b/>
          <w:bCs/>
          <w:sz w:val="32"/>
        </w:rPr>
        <w:t>1</w:t>
      </w:r>
      <w:r w:rsidRPr="00183134">
        <w:rPr>
          <w:rFonts w:ascii="Times New Roman" w:eastAsia="仿宋_GB2312" w:hAnsi="Times New Roman" w:cs="Times New Roman" w:hint="eastAsia"/>
          <w:b/>
          <w:bCs/>
          <w:sz w:val="32"/>
        </w:rPr>
        <w:t>：</w:t>
      </w:r>
    </w:p>
    <w:p w14:paraId="39A3878B" w14:textId="4AC677BE" w:rsidR="00183134" w:rsidRPr="00183134" w:rsidRDefault="00183134" w:rsidP="00183134">
      <w:pPr>
        <w:pStyle w:val="3"/>
        <w:spacing w:before="260" w:after="260" w:line="416" w:lineRule="atLeast"/>
        <w:jc w:val="center"/>
        <w:rPr>
          <w:rFonts w:ascii="仿宋_GB2312" w:eastAsia="仿宋_GB2312" w:hAnsi="仿宋_GB2312" w:cs="仿宋_GB2312" w:hint="eastAsia"/>
          <w:b/>
          <w:bCs/>
          <w:color w:val="auto"/>
        </w:rPr>
      </w:pPr>
      <w:r w:rsidRPr="00183134">
        <w:rPr>
          <w:rFonts w:ascii="仿宋_GB2312" w:eastAsia="仿宋_GB2312" w:hAnsi="仿宋_GB2312" w:cs="仿宋_GB2312" w:hint="eastAsia"/>
          <w:b/>
          <w:bCs/>
          <w:color w:val="auto"/>
        </w:rPr>
        <w:t>AI智能分导诊系统技术参数要求</w:t>
      </w:r>
    </w:p>
    <w:tbl>
      <w:tblPr>
        <w:tblStyle w:val="af0"/>
        <w:tblW w:w="0" w:type="auto"/>
        <w:jc w:val="center"/>
        <w:tblLook w:val="04A0" w:firstRow="1" w:lastRow="0" w:firstColumn="1" w:lastColumn="0" w:noHBand="0" w:noVBand="1"/>
      </w:tblPr>
      <w:tblGrid>
        <w:gridCol w:w="846"/>
        <w:gridCol w:w="709"/>
        <w:gridCol w:w="6741"/>
      </w:tblGrid>
      <w:tr w:rsidR="00183134" w14:paraId="20E5549E" w14:textId="77777777" w:rsidTr="001C5174">
        <w:trPr>
          <w:jc w:val="center"/>
        </w:trPr>
        <w:tc>
          <w:tcPr>
            <w:tcW w:w="846" w:type="dxa"/>
            <w:vAlign w:val="center"/>
          </w:tcPr>
          <w:p w14:paraId="5193B6F0"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参数</w:t>
            </w:r>
          </w:p>
          <w:p w14:paraId="2ADDEE0E"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性质</w:t>
            </w:r>
          </w:p>
        </w:tc>
        <w:tc>
          <w:tcPr>
            <w:tcW w:w="709" w:type="dxa"/>
            <w:vAlign w:val="center"/>
          </w:tcPr>
          <w:p w14:paraId="1F0252E6"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序</w:t>
            </w:r>
          </w:p>
          <w:p w14:paraId="373303CB"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号</w:t>
            </w:r>
          </w:p>
        </w:tc>
        <w:tc>
          <w:tcPr>
            <w:tcW w:w="6741" w:type="dxa"/>
            <w:vAlign w:val="center"/>
          </w:tcPr>
          <w:p w14:paraId="3B254C1A" w14:textId="77777777" w:rsidR="00183134" w:rsidRPr="00183134" w:rsidRDefault="00183134" w:rsidP="001C5174">
            <w:pPr>
              <w:spacing w:line="360" w:lineRule="auto"/>
              <w:jc w:val="left"/>
              <w:rPr>
                <w:rFonts w:ascii="仿宋" w:eastAsia="仿宋" w:hAnsi="仿宋" w:hint="eastAsia"/>
                <w:sz w:val="24"/>
                <w:szCs w:val="24"/>
              </w:rPr>
            </w:pPr>
            <w:r w:rsidRPr="00183134">
              <w:rPr>
                <w:rFonts w:ascii="仿宋" w:eastAsia="仿宋" w:hAnsi="仿宋" w:hint="eastAsia"/>
                <w:sz w:val="24"/>
                <w:szCs w:val="24"/>
              </w:rPr>
              <w:t>具体技术（参数）要求</w:t>
            </w:r>
          </w:p>
        </w:tc>
      </w:tr>
      <w:tr w:rsidR="00183134" w14:paraId="5B035474" w14:textId="77777777" w:rsidTr="001C5174">
        <w:trPr>
          <w:jc w:val="center"/>
        </w:trPr>
        <w:tc>
          <w:tcPr>
            <w:tcW w:w="846" w:type="dxa"/>
            <w:vAlign w:val="center"/>
          </w:tcPr>
          <w:p w14:paraId="18EBFCB4"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sz w:val="24"/>
                <w:szCs w:val="24"/>
              </w:rPr>
              <w:t>▲</w:t>
            </w:r>
          </w:p>
        </w:tc>
        <w:tc>
          <w:tcPr>
            <w:tcW w:w="709" w:type="dxa"/>
            <w:vAlign w:val="center"/>
          </w:tcPr>
          <w:p w14:paraId="304A4DEC"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w:t>
            </w:r>
          </w:p>
        </w:tc>
        <w:tc>
          <w:tcPr>
            <w:tcW w:w="6741" w:type="dxa"/>
            <w:vAlign w:val="center"/>
          </w:tcPr>
          <w:p w14:paraId="2D9C29FB"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sz w:val="24"/>
                <w:szCs w:val="24"/>
              </w:rPr>
              <w:t>支持多端适配的一键式语音输入，提供简洁高效的交互流程，兼顾移动触屏与Web键鼠的不同操作习惯</w:t>
            </w:r>
            <w:r w:rsidRPr="00183134">
              <w:rPr>
                <w:rFonts w:ascii="仿宋" w:eastAsia="仿宋" w:hAnsi="仿宋" w:hint="eastAsia"/>
                <w:sz w:val="24"/>
                <w:szCs w:val="24"/>
              </w:rPr>
              <w:t>。</w:t>
            </w:r>
          </w:p>
        </w:tc>
      </w:tr>
      <w:tr w:rsidR="00183134" w14:paraId="3E63E154" w14:textId="77777777" w:rsidTr="001C5174">
        <w:trPr>
          <w:jc w:val="center"/>
        </w:trPr>
        <w:tc>
          <w:tcPr>
            <w:tcW w:w="846" w:type="dxa"/>
            <w:vAlign w:val="center"/>
          </w:tcPr>
          <w:p w14:paraId="29CBD0EA"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0B1A74A2"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2</w:t>
            </w:r>
          </w:p>
        </w:tc>
        <w:tc>
          <w:tcPr>
            <w:tcW w:w="6741" w:type="dxa"/>
            <w:vAlign w:val="center"/>
          </w:tcPr>
          <w:p w14:paraId="10F9133E"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支持标准普通话语音输入，支持连续、口语化语音描述识别，对自然语言表达中的停顿、重复及非规范句式具有良好的兼容性</w:t>
            </w:r>
          </w:p>
        </w:tc>
      </w:tr>
      <w:tr w:rsidR="00183134" w14:paraId="1C3C0A9F" w14:textId="77777777" w:rsidTr="001C5174">
        <w:trPr>
          <w:jc w:val="center"/>
        </w:trPr>
        <w:tc>
          <w:tcPr>
            <w:tcW w:w="846" w:type="dxa"/>
            <w:vAlign w:val="center"/>
          </w:tcPr>
          <w:p w14:paraId="18C82903"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51DA153B"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3</w:t>
            </w:r>
          </w:p>
        </w:tc>
        <w:tc>
          <w:tcPr>
            <w:tcW w:w="6741" w:type="dxa"/>
            <w:vAlign w:val="center"/>
          </w:tcPr>
          <w:p w14:paraId="366D5AAA"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支持语音清晰化处理与降噪，对输入音频进行增强处理，以提升嘈杂环境下的语音清晰度与可识别性</w:t>
            </w:r>
          </w:p>
        </w:tc>
      </w:tr>
      <w:tr w:rsidR="00183134" w14:paraId="674DCD54" w14:textId="77777777" w:rsidTr="001C5174">
        <w:trPr>
          <w:jc w:val="center"/>
        </w:trPr>
        <w:tc>
          <w:tcPr>
            <w:tcW w:w="846" w:type="dxa"/>
            <w:vAlign w:val="center"/>
          </w:tcPr>
          <w:p w14:paraId="46702797"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57AB9DAD"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4</w:t>
            </w:r>
          </w:p>
        </w:tc>
        <w:tc>
          <w:tcPr>
            <w:tcW w:w="6741" w:type="dxa"/>
            <w:vAlign w:val="center"/>
          </w:tcPr>
          <w:p w14:paraId="6DCCDD2C"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支持自然语言自由文本输入，用户可直接输入病情描述、症状表现及既往病史等非结构化信息，支持内容的连续补充与编辑，用户可随时对已输入的信息进行修改或完善，形成完整的病情记录。</w:t>
            </w:r>
          </w:p>
        </w:tc>
      </w:tr>
      <w:tr w:rsidR="00183134" w14:paraId="349D2682" w14:textId="77777777" w:rsidTr="001C5174">
        <w:trPr>
          <w:jc w:val="center"/>
        </w:trPr>
        <w:tc>
          <w:tcPr>
            <w:tcW w:w="846" w:type="dxa"/>
            <w:vAlign w:val="center"/>
          </w:tcPr>
          <w:p w14:paraId="2ECB0288"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3D2CEE47"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5</w:t>
            </w:r>
          </w:p>
        </w:tc>
        <w:tc>
          <w:tcPr>
            <w:tcW w:w="6741" w:type="dxa"/>
            <w:vAlign w:val="center"/>
          </w:tcPr>
          <w:p w14:paraId="7FBDEF95"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支持深度语义理解，对输入的自然语言内容进行解析，理解其医学含义与上下文关联，从描述中自动识别并提取症状、部位、持续时间、性质等结构化医学要素。</w:t>
            </w:r>
          </w:p>
        </w:tc>
      </w:tr>
      <w:tr w:rsidR="00183134" w14:paraId="13AB5D1D" w14:textId="77777777" w:rsidTr="001C5174">
        <w:trPr>
          <w:jc w:val="center"/>
        </w:trPr>
        <w:tc>
          <w:tcPr>
            <w:tcW w:w="846" w:type="dxa"/>
            <w:vAlign w:val="center"/>
          </w:tcPr>
          <w:p w14:paraId="0BDB1AFA"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sz w:val="24"/>
                <w:szCs w:val="24"/>
              </w:rPr>
              <w:t>▲</w:t>
            </w:r>
          </w:p>
        </w:tc>
        <w:tc>
          <w:tcPr>
            <w:tcW w:w="709" w:type="dxa"/>
            <w:vAlign w:val="center"/>
          </w:tcPr>
          <w:p w14:paraId="6FA6A2D0"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6</w:t>
            </w:r>
          </w:p>
        </w:tc>
        <w:tc>
          <w:tcPr>
            <w:tcW w:w="6741" w:type="dxa"/>
            <w:vAlign w:val="center"/>
          </w:tcPr>
          <w:p w14:paraId="66C0F607"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支持复杂、连续的多轮对话管理机制，可对用户输入的初始病情描述进行深层语义分析，并基于大规模预训练的医疗知识及临床经验进行逻辑推理。</w:t>
            </w:r>
          </w:p>
        </w:tc>
      </w:tr>
      <w:tr w:rsidR="00183134" w14:paraId="1040307A" w14:textId="77777777" w:rsidTr="001C5174">
        <w:trPr>
          <w:jc w:val="center"/>
        </w:trPr>
        <w:tc>
          <w:tcPr>
            <w:tcW w:w="846" w:type="dxa"/>
            <w:vAlign w:val="center"/>
          </w:tcPr>
          <w:p w14:paraId="301FCA99"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4EAC17BD"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7</w:t>
            </w:r>
          </w:p>
        </w:tc>
        <w:tc>
          <w:tcPr>
            <w:tcW w:w="6741" w:type="dxa"/>
            <w:vAlign w:val="center"/>
          </w:tcPr>
          <w:p w14:paraId="3B17846E"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支持对用户输入信息进行实时智能分析与语义解析，准确识别并提取描述中的症状、部位、时间、程度等核心医学要素，将提取的要素自动重构为清晰、统一的医学规范化表述。</w:t>
            </w:r>
          </w:p>
        </w:tc>
      </w:tr>
      <w:tr w:rsidR="00183134" w14:paraId="5A45AF57" w14:textId="77777777" w:rsidTr="001C5174">
        <w:trPr>
          <w:jc w:val="center"/>
        </w:trPr>
        <w:tc>
          <w:tcPr>
            <w:tcW w:w="846" w:type="dxa"/>
            <w:vAlign w:val="center"/>
          </w:tcPr>
          <w:p w14:paraId="09907ADC"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06C608CA"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8</w:t>
            </w:r>
          </w:p>
        </w:tc>
        <w:tc>
          <w:tcPr>
            <w:tcW w:w="6741" w:type="dxa"/>
            <w:vAlign w:val="center"/>
          </w:tcPr>
          <w:p w14:paraId="764BF011"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在系统对话输出中严格遵循语言简洁性原则，确保医学信息的清晰传达与用户理解，系统生成的问题、提示与引导均采用口语化、简洁明了的表达方式，避免使用晦涩医学术语与复杂句式。</w:t>
            </w:r>
          </w:p>
        </w:tc>
      </w:tr>
      <w:tr w:rsidR="00183134" w14:paraId="38A80EE3" w14:textId="77777777" w:rsidTr="001C5174">
        <w:trPr>
          <w:jc w:val="center"/>
        </w:trPr>
        <w:tc>
          <w:tcPr>
            <w:tcW w:w="846" w:type="dxa"/>
            <w:vAlign w:val="center"/>
          </w:tcPr>
          <w:p w14:paraId="3E647D7D"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302EF8EE"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9</w:t>
            </w:r>
          </w:p>
        </w:tc>
        <w:tc>
          <w:tcPr>
            <w:tcW w:w="6741" w:type="dxa"/>
            <w:vAlign w:val="center"/>
          </w:tcPr>
          <w:p w14:paraId="1510981B"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基于</w:t>
            </w:r>
            <w:r w:rsidRPr="00183134">
              <w:rPr>
                <w:rFonts w:ascii="仿宋" w:eastAsia="仿宋" w:hAnsi="仿宋"/>
                <w:sz w:val="24"/>
                <w:szCs w:val="24"/>
              </w:rPr>
              <w:t>LLM</w:t>
            </w:r>
            <w:r w:rsidRPr="00183134">
              <w:rPr>
                <w:rFonts w:ascii="仿宋" w:eastAsia="仿宋" w:hAnsi="仿宋" w:hint="eastAsia"/>
                <w:sz w:val="24"/>
                <w:szCs w:val="24"/>
              </w:rPr>
              <w:t>的信息缺口识别能力，动态监控问诊流程中关键要素的覆盖情况。</w:t>
            </w:r>
          </w:p>
        </w:tc>
      </w:tr>
      <w:tr w:rsidR="00183134" w14:paraId="037C919C" w14:textId="77777777" w:rsidTr="001C5174">
        <w:trPr>
          <w:jc w:val="center"/>
        </w:trPr>
        <w:tc>
          <w:tcPr>
            <w:tcW w:w="846" w:type="dxa"/>
            <w:vAlign w:val="center"/>
          </w:tcPr>
          <w:p w14:paraId="224FF475"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7061E5BF"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10</w:t>
            </w:r>
          </w:p>
        </w:tc>
        <w:tc>
          <w:tcPr>
            <w:tcW w:w="6741" w:type="dxa"/>
            <w:vAlign w:val="center"/>
          </w:tcPr>
          <w:p w14:paraId="76B7C7E5"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基于</w:t>
            </w:r>
            <w:r w:rsidRPr="00183134">
              <w:rPr>
                <w:rFonts w:ascii="仿宋" w:eastAsia="仿宋" w:hAnsi="仿宋"/>
                <w:sz w:val="24"/>
                <w:szCs w:val="24"/>
              </w:rPr>
              <w:t>LLM</w:t>
            </w:r>
            <w:r w:rsidRPr="00183134">
              <w:rPr>
                <w:rFonts w:ascii="仿宋" w:eastAsia="仿宋" w:hAnsi="仿宋" w:hint="eastAsia"/>
                <w:sz w:val="24"/>
                <w:szCs w:val="24"/>
              </w:rPr>
              <w:t>上下文理解能力实现对话焦点动态追踪，持续锁定问诊核心问题。</w:t>
            </w:r>
          </w:p>
        </w:tc>
      </w:tr>
      <w:tr w:rsidR="00183134" w14:paraId="1BEFCB3A" w14:textId="77777777" w:rsidTr="001C5174">
        <w:trPr>
          <w:jc w:val="center"/>
        </w:trPr>
        <w:tc>
          <w:tcPr>
            <w:tcW w:w="846" w:type="dxa"/>
            <w:vAlign w:val="center"/>
          </w:tcPr>
          <w:p w14:paraId="5CEAB30F"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32E438CA"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11</w:t>
            </w:r>
          </w:p>
        </w:tc>
        <w:tc>
          <w:tcPr>
            <w:tcW w:w="6741" w:type="dxa"/>
            <w:vAlign w:val="center"/>
          </w:tcPr>
          <w:p w14:paraId="78637E43"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支持问诊模式的灵活切换。</w:t>
            </w:r>
          </w:p>
        </w:tc>
      </w:tr>
      <w:tr w:rsidR="00183134" w14:paraId="7449C1FA" w14:textId="77777777" w:rsidTr="001C5174">
        <w:trPr>
          <w:jc w:val="center"/>
        </w:trPr>
        <w:tc>
          <w:tcPr>
            <w:tcW w:w="846" w:type="dxa"/>
            <w:vAlign w:val="center"/>
          </w:tcPr>
          <w:p w14:paraId="59541F59"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0B438AC7"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12</w:t>
            </w:r>
          </w:p>
        </w:tc>
        <w:tc>
          <w:tcPr>
            <w:tcW w:w="6741" w:type="dxa"/>
            <w:vAlign w:val="center"/>
          </w:tcPr>
          <w:p w14:paraId="392FA7EB"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sz w:val="24"/>
                <w:szCs w:val="24"/>
              </w:rPr>
              <w:t>支持在问诊流程中为用户提供中途灵活结束问诊的选项，并在满足规则时于追问区域显示“直接出结论”</w:t>
            </w:r>
            <w:r w:rsidRPr="00183134">
              <w:rPr>
                <w:rFonts w:ascii="仿宋" w:eastAsia="仿宋" w:hAnsi="仿宋" w:hint="eastAsia"/>
                <w:sz w:val="24"/>
                <w:szCs w:val="24"/>
              </w:rPr>
              <w:t>的提示性操作。</w:t>
            </w:r>
          </w:p>
        </w:tc>
      </w:tr>
      <w:tr w:rsidR="00183134" w14:paraId="59A7E216" w14:textId="77777777" w:rsidTr="001C5174">
        <w:trPr>
          <w:jc w:val="center"/>
        </w:trPr>
        <w:tc>
          <w:tcPr>
            <w:tcW w:w="846" w:type="dxa"/>
            <w:vAlign w:val="center"/>
          </w:tcPr>
          <w:p w14:paraId="4CA38B55"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39250AEE"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13</w:t>
            </w:r>
          </w:p>
        </w:tc>
        <w:tc>
          <w:tcPr>
            <w:tcW w:w="6741" w:type="dxa"/>
            <w:vAlign w:val="center"/>
          </w:tcPr>
          <w:p w14:paraId="5D211823"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支持结论与建议的语音播报功能，为用户提供听觉信息输出方式</w:t>
            </w:r>
          </w:p>
        </w:tc>
      </w:tr>
      <w:tr w:rsidR="00183134" w14:paraId="0F0390FA" w14:textId="77777777" w:rsidTr="001C5174">
        <w:trPr>
          <w:jc w:val="center"/>
        </w:trPr>
        <w:tc>
          <w:tcPr>
            <w:tcW w:w="846" w:type="dxa"/>
            <w:vAlign w:val="center"/>
          </w:tcPr>
          <w:p w14:paraId="18994B00"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w:t>
            </w:r>
          </w:p>
        </w:tc>
        <w:tc>
          <w:tcPr>
            <w:tcW w:w="709" w:type="dxa"/>
            <w:vAlign w:val="center"/>
          </w:tcPr>
          <w:p w14:paraId="4BDEECC8"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14</w:t>
            </w:r>
          </w:p>
        </w:tc>
        <w:tc>
          <w:tcPr>
            <w:tcW w:w="6741" w:type="dxa"/>
            <w:vAlign w:val="center"/>
          </w:tcPr>
          <w:p w14:paraId="422E8DD2"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用户在问诊结果生成后点击“重新生成”按钮，以触发对当前结果的动态优化；支持在重新生成过程中完整保留用户已输入的全部原始结构化数据，并基于此重新执行智能推理与文本生成流程；支持在相同数据基础上生成新的答案、不同的诊断建议或替代性健康指导，提供结果的多样性。</w:t>
            </w:r>
          </w:p>
        </w:tc>
      </w:tr>
      <w:tr w:rsidR="00183134" w14:paraId="60D4CA6B" w14:textId="77777777" w:rsidTr="001C5174">
        <w:trPr>
          <w:jc w:val="center"/>
        </w:trPr>
        <w:tc>
          <w:tcPr>
            <w:tcW w:w="846" w:type="dxa"/>
            <w:vAlign w:val="center"/>
          </w:tcPr>
          <w:p w14:paraId="16DD7893"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49676A41"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15</w:t>
            </w:r>
          </w:p>
        </w:tc>
        <w:tc>
          <w:tcPr>
            <w:tcW w:w="6741" w:type="dxa"/>
            <w:vAlign w:val="center"/>
          </w:tcPr>
          <w:p w14:paraId="1F642B10"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sz w:val="24"/>
                <w:szCs w:val="24"/>
              </w:rPr>
              <w:t>支持将前端采集的文字描述、语音转写等所有文本输入进行统一整合与综合分析</w:t>
            </w:r>
            <w:r w:rsidRPr="00183134">
              <w:rPr>
                <w:rFonts w:ascii="仿宋" w:eastAsia="仿宋" w:hAnsi="仿宋" w:hint="eastAsia"/>
                <w:sz w:val="24"/>
                <w:szCs w:val="24"/>
              </w:rPr>
              <w:t>，对整合后的文本信息进行深度结构化处理与逻辑关系挖掘，结合多轮对话上下文进行整体语义理解，确保每个数据点得到充分利用。</w:t>
            </w:r>
          </w:p>
        </w:tc>
      </w:tr>
      <w:tr w:rsidR="00183134" w14:paraId="26702069" w14:textId="77777777" w:rsidTr="001C5174">
        <w:trPr>
          <w:jc w:val="center"/>
        </w:trPr>
        <w:tc>
          <w:tcPr>
            <w:tcW w:w="846" w:type="dxa"/>
            <w:vAlign w:val="center"/>
          </w:tcPr>
          <w:p w14:paraId="5E666142"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sz w:val="24"/>
                <w:szCs w:val="24"/>
              </w:rPr>
              <w:t>▲</w:t>
            </w:r>
          </w:p>
        </w:tc>
        <w:tc>
          <w:tcPr>
            <w:tcW w:w="709" w:type="dxa"/>
            <w:vAlign w:val="center"/>
          </w:tcPr>
          <w:p w14:paraId="18ADFA85"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16</w:t>
            </w:r>
          </w:p>
        </w:tc>
        <w:tc>
          <w:tcPr>
            <w:tcW w:w="6741" w:type="dxa"/>
            <w:vAlign w:val="center"/>
          </w:tcPr>
          <w:p w14:paraId="6570761D"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sz w:val="24"/>
                <w:szCs w:val="24"/>
              </w:rPr>
              <w:t>支持生成高度结构化、内容全面的智能问诊结论报告，作为问诊流程的最终输出产物</w:t>
            </w:r>
            <w:r w:rsidRPr="00183134">
              <w:rPr>
                <w:rFonts w:ascii="仿宋" w:eastAsia="仿宋" w:hAnsi="仿宋" w:hint="eastAsia"/>
                <w:sz w:val="24"/>
                <w:szCs w:val="24"/>
              </w:rPr>
              <w:t>。</w:t>
            </w:r>
          </w:p>
        </w:tc>
      </w:tr>
      <w:tr w:rsidR="00183134" w14:paraId="5EDC5609" w14:textId="77777777" w:rsidTr="001C5174">
        <w:trPr>
          <w:jc w:val="center"/>
        </w:trPr>
        <w:tc>
          <w:tcPr>
            <w:tcW w:w="846" w:type="dxa"/>
            <w:vAlign w:val="center"/>
          </w:tcPr>
          <w:p w14:paraId="369828DF"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0664CCDB"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17</w:t>
            </w:r>
          </w:p>
        </w:tc>
        <w:tc>
          <w:tcPr>
            <w:tcW w:w="6741" w:type="dxa"/>
            <w:vAlign w:val="center"/>
          </w:tcPr>
          <w:p w14:paraId="641398DE"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sz w:val="24"/>
                <w:szCs w:val="24"/>
              </w:rPr>
              <w:t>支持基于用户本次对话的完整上下文进行智能导诊与就医路径推荐，分析时主动结合年龄、性别、症状发展过程及已进行的检查或用药等关键历史信息</w:t>
            </w:r>
            <w:r w:rsidRPr="00183134">
              <w:rPr>
                <w:rFonts w:ascii="仿宋" w:eastAsia="仿宋" w:hAnsi="仿宋" w:hint="eastAsia"/>
                <w:sz w:val="24"/>
                <w:szCs w:val="24"/>
              </w:rPr>
              <w:t>。</w:t>
            </w:r>
          </w:p>
        </w:tc>
      </w:tr>
      <w:tr w:rsidR="00183134" w14:paraId="575E2989" w14:textId="77777777" w:rsidTr="001C5174">
        <w:trPr>
          <w:jc w:val="center"/>
        </w:trPr>
        <w:tc>
          <w:tcPr>
            <w:tcW w:w="846" w:type="dxa"/>
            <w:vAlign w:val="center"/>
          </w:tcPr>
          <w:p w14:paraId="45DD8BDC"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sz w:val="24"/>
                <w:szCs w:val="24"/>
              </w:rPr>
              <w:t>▲</w:t>
            </w:r>
          </w:p>
        </w:tc>
        <w:tc>
          <w:tcPr>
            <w:tcW w:w="709" w:type="dxa"/>
            <w:vAlign w:val="center"/>
          </w:tcPr>
          <w:p w14:paraId="5F4B42AC"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18</w:t>
            </w:r>
          </w:p>
        </w:tc>
        <w:tc>
          <w:tcPr>
            <w:tcW w:w="6741" w:type="dxa"/>
            <w:vAlign w:val="center"/>
          </w:tcPr>
          <w:p w14:paraId="6549B2D3"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支持管理员对问诊流程中的核心交互参数进行后台配置；支持对对话轮次进行独立配置，可设置范围为最少1轮至最多5轮；支持通过配置对话轮次上限，灵活控制单次问诊的信息采集深度与流程长度。</w:t>
            </w:r>
          </w:p>
        </w:tc>
      </w:tr>
      <w:tr w:rsidR="00183134" w14:paraId="21DE3E41" w14:textId="77777777" w:rsidTr="001C5174">
        <w:trPr>
          <w:jc w:val="center"/>
        </w:trPr>
        <w:tc>
          <w:tcPr>
            <w:tcW w:w="846" w:type="dxa"/>
            <w:vAlign w:val="center"/>
          </w:tcPr>
          <w:p w14:paraId="526C414A"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1E118987"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19</w:t>
            </w:r>
          </w:p>
        </w:tc>
        <w:tc>
          <w:tcPr>
            <w:tcW w:w="6741" w:type="dxa"/>
            <w:vAlign w:val="center"/>
          </w:tcPr>
          <w:p w14:paraId="21D5CB20"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支持通过医院平台接口实时同步科室与医生列表数据。</w:t>
            </w:r>
          </w:p>
        </w:tc>
      </w:tr>
      <w:tr w:rsidR="00183134" w14:paraId="7F4326A9" w14:textId="77777777" w:rsidTr="001C5174">
        <w:trPr>
          <w:jc w:val="center"/>
        </w:trPr>
        <w:tc>
          <w:tcPr>
            <w:tcW w:w="846" w:type="dxa"/>
            <w:vAlign w:val="center"/>
          </w:tcPr>
          <w:p w14:paraId="6606FCDB"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sz w:val="24"/>
                <w:szCs w:val="24"/>
              </w:rPr>
              <w:t>▲</w:t>
            </w:r>
          </w:p>
        </w:tc>
        <w:tc>
          <w:tcPr>
            <w:tcW w:w="709" w:type="dxa"/>
            <w:vAlign w:val="center"/>
          </w:tcPr>
          <w:p w14:paraId="351F5512"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20</w:t>
            </w:r>
          </w:p>
        </w:tc>
        <w:tc>
          <w:tcPr>
            <w:tcW w:w="6741" w:type="dxa"/>
            <w:vAlign w:val="center"/>
          </w:tcPr>
          <w:p w14:paraId="0E0F6284"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管理员对特殊业务或特定人群的导诊推荐路径进行精细化干预与定制化配置；支持配置路径时涵盖性别、年龄、特殊人群标识、症状描述、检查检验结果等多个判断维度；支持对年龄条件进行灵活配置，可设置多种单位、格式及自定义区间；支持为每条路径配置相似度匹配阈值（范围0%至100%），用于衡量用户对话内容与预设路径的匹配程度。</w:t>
            </w:r>
          </w:p>
        </w:tc>
      </w:tr>
      <w:tr w:rsidR="00183134" w14:paraId="2CF98E86" w14:textId="77777777" w:rsidTr="001C5174">
        <w:trPr>
          <w:jc w:val="center"/>
        </w:trPr>
        <w:tc>
          <w:tcPr>
            <w:tcW w:w="846" w:type="dxa"/>
            <w:vAlign w:val="center"/>
          </w:tcPr>
          <w:p w14:paraId="4E2F10E3"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7EA7B917"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21</w:t>
            </w:r>
          </w:p>
        </w:tc>
        <w:tc>
          <w:tcPr>
            <w:tcW w:w="6741" w:type="dxa"/>
            <w:vAlign w:val="center"/>
          </w:tcPr>
          <w:p w14:paraId="0374A564"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sz w:val="24"/>
                <w:szCs w:val="24"/>
              </w:rPr>
              <w:t>支持高度灵活的用户界面（UI）定制功能，使合作平台能够实现品牌形象统一与运营信息快速发布</w:t>
            </w:r>
            <w:r w:rsidRPr="00183134">
              <w:rPr>
                <w:rFonts w:ascii="仿宋" w:eastAsia="仿宋" w:hAnsi="仿宋" w:hint="eastAsia"/>
                <w:sz w:val="24"/>
                <w:szCs w:val="24"/>
              </w:rPr>
              <w:t>。</w:t>
            </w:r>
          </w:p>
        </w:tc>
      </w:tr>
      <w:tr w:rsidR="00183134" w14:paraId="474912B7" w14:textId="77777777" w:rsidTr="001C5174">
        <w:trPr>
          <w:jc w:val="center"/>
        </w:trPr>
        <w:tc>
          <w:tcPr>
            <w:tcW w:w="846" w:type="dxa"/>
            <w:vAlign w:val="center"/>
          </w:tcPr>
          <w:p w14:paraId="7CDD700F"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sz w:val="24"/>
                <w:szCs w:val="24"/>
              </w:rPr>
              <w:t>▲</w:t>
            </w:r>
          </w:p>
        </w:tc>
        <w:tc>
          <w:tcPr>
            <w:tcW w:w="709" w:type="dxa"/>
            <w:vAlign w:val="center"/>
          </w:tcPr>
          <w:p w14:paraId="5620F74B"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22</w:t>
            </w:r>
          </w:p>
        </w:tc>
        <w:tc>
          <w:tcPr>
            <w:tcW w:w="6741" w:type="dxa"/>
            <w:vAlign w:val="center"/>
          </w:tcPr>
          <w:p w14:paraId="49BBDE39" w14:textId="77777777" w:rsidR="00183134" w:rsidRPr="00183134" w:rsidRDefault="00183134" w:rsidP="001C517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支持管理员在配置完成后通过保存按钮将配置内容即时生效至预览页面，以进行效果验证；支持在验证无误后，通过发布按钮将配置正式发布至线上环境；支持将生效配置绑定至对应API Key，实现多业务方或多环境间的配置隔离与独立管理。</w:t>
            </w:r>
          </w:p>
        </w:tc>
      </w:tr>
      <w:tr w:rsidR="00183134" w14:paraId="402FF237" w14:textId="77777777" w:rsidTr="001C5174">
        <w:trPr>
          <w:jc w:val="center"/>
        </w:trPr>
        <w:tc>
          <w:tcPr>
            <w:tcW w:w="846" w:type="dxa"/>
            <w:vAlign w:val="center"/>
          </w:tcPr>
          <w:p w14:paraId="595FC06F" w14:textId="77777777" w:rsidR="00183134" w:rsidRPr="00183134" w:rsidRDefault="00183134" w:rsidP="001C5174">
            <w:pPr>
              <w:spacing w:line="360" w:lineRule="auto"/>
              <w:jc w:val="center"/>
              <w:rPr>
                <w:rFonts w:ascii="仿宋" w:eastAsia="仿宋" w:hAnsi="仿宋" w:hint="eastAsia"/>
                <w:sz w:val="24"/>
                <w:szCs w:val="24"/>
              </w:rPr>
            </w:pPr>
          </w:p>
        </w:tc>
        <w:tc>
          <w:tcPr>
            <w:tcW w:w="709" w:type="dxa"/>
            <w:vAlign w:val="center"/>
          </w:tcPr>
          <w:p w14:paraId="496646E1" w14:textId="77777777" w:rsidR="00183134" w:rsidRPr="00183134" w:rsidRDefault="00183134" w:rsidP="001C5174">
            <w:pPr>
              <w:spacing w:line="360" w:lineRule="auto"/>
              <w:jc w:val="center"/>
              <w:rPr>
                <w:rFonts w:ascii="仿宋" w:eastAsia="仿宋" w:hAnsi="仿宋" w:hint="eastAsia"/>
                <w:sz w:val="24"/>
                <w:szCs w:val="24"/>
              </w:rPr>
            </w:pPr>
            <w:r w:rsidRPr="00183134">
              <w:rPr>
                <w:rFonts w:ascii="仿宋" w:eastAsia="仿宋" w:hAnsi="仿宋" w:hint="eastAsia"/>
                <w:sz w:val="24"/>
                <w:szCs w:val="24"/>
              </w:rPr>
              <w:t>23</w:t>
            </w:r>
          </w:p>
        </w:tc>
        <w:tc>
          <w:tcPr>
            <w:tcW w:w="6741" w:type="dxa"/>
            <w:vAlign w:val="center"/>
          </w:tcPr>
          <w:p w14:paraId="73B9F66F" w14:textId="77777777" w:rsidR="00183134" w:rsidRPr="00183134" w:rsidRDefault="00183134" w:rsidP="00183134">
            <w:pPr>
              <w:adjustRightInd w:val="0"/>
              <w:snapToGrid w:val="0"/>
              <w:spacing w:line="360" w:lineRule="auto"/>
              <w:jc w:val="left"/>
              <w:rPr>
                <w:rFonts w:ascii="仿宋" w:eastAsia="仿宋" w:hAnsi="仿宋" w:hint="eastAsia"/>
                <w:sz w:val="24"/>
                <w:szCs w:val="24"/>
              </w:rPr>
            </w:pPr>
            <w:r w:rsidRPr="00183134">
              <w:rPr>
                <w:rFonts w:ascii="仿宋" w:eastAsia="仿宋" w:hAnsi="仿宋" w:hint="eastAsia"/>
                <w:sz w:val="24"/>
                <w:szCs w:val="24"/>
              </w:rPr>
              <w:t>支持历史对话记录的追溯及连续性问询。</w:t>
            </w:r>
          </w:p>
        </w:tc>
      </w:tr>
      <w:tr w:rsidR="00183134" w14:paraId="35E34F25" w14:textId="77777777" w:rsidTr="008409D8">
        <w:trPr>
          <w:jc w:val="center"/>
        </w:trPr>
        <w:tc>
          <w:tcPr>
            <w:tcW w:w="846" w:type="dxa"/>
            <w:vAlign w:val="center"/>
          </w:tcPr>
          <w:p w14:paraId="694FCE71" w14:textId="7DFEEDC5" w:rsidR="00183134" w:rsidRPr="00183134" w:rsidRDefault="00183134" w:rsidP="001C5174">
            <w:pPr>
              <w:spacing w:line="360" w:lineRule="auto"/>
              <w:jc w:val="center"/>
              <w:rPr>
                <w:rFonts w:ascii="仿宋" w:eastAsia="仿宋" w:hAnsi="仿宋" w:hint="eastAsia"/>
                <w:sz w:val="24"/>
                <w:szCs w:val="24"/>
              </w:rPr>
            </w:pPr>
            <w:r>
              <w:rPr>
                <w:rFonts w:ascii="仿宋" w:eastAsia="仿宋" w:hAnsi="仿宋" w:hint="eastAsia"/>
                <w:sz w:val="24"/>
                <w:szCs w:val="24"/>
              </w:rPr>
              <w:t>说明</w:t>
            </w:r>
          </w:p>
        </w:tc>
        <w:tc>
          <w:tcPr>
            <w:tcW w:w="7450" w:type="dxa"/>
            <w:gridSpan w:val="2"/>
            <w:vAlign w:val="center"/>
          </w:tcPr>
          <w:p w14:paraId="33433F62" w14:textId="26F055A9" w:rsidR="00183134" w:rsidRPr="00183134" w:rsidRDefault="00183134" w:rsidP="00183134">
            <w:pPr>
              <w:adjustRightInd w:val="0"/>
              <w:snapToGrid w:val="0"/>
              <w:spacing w:line="360" w:lineRule="auto"/>
              <w:jc w:val="left"/>
              <w:rPr>
                <w:rFonts w:ascii="仿宋" w:eastAsia="仿宋" w:hAnsi="仿宋" w:hint="eastAsia"/>
                <w:sz w:val="24"/>
                <w:szCs w:val="24"/>
              </w:rPr>
            </w:pPr>
            <w:r w:rsidRPr="00183134">
              <w:rPr>
                <w:rFonts w:ascii="仿宋" w:eastAsia="仿宋" w:hAnsi="仿宋"/>
                <w:sz w:val="24"/>
                <w:szCs w:val="24"/>
              </w:rPr>
              <w:t>打“▲”号条款为重要技术参数，要求提供相关证明文件，不限于设计文档、产品手册、实测截图等。若有部分“▲”条款未响应或不满足，将导致其响应性评审加重扣分，但不作为无效投标条款。</w:t>
            </w:r>
          </w:p>
        </w:tc>
      </w:tr>
    </w:tbl>
    <w:p w14:paraId="0A7480FC" w14:textId="77777777" w:rsidR="0075062C" w:rsidRPr="00183134" w:rsidRDefault="0075062C"/>
    <w:sectPr w:rsidR="0075062C" w:rsidRPr="00183134" w:rsidSect="00183134">
      <w:footerReference w:type="default" r:id="rI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A5E82" w14:textId="78CFD51F" w:rsidR="00183134" w:rsidRDefault="00183134">
    <w:pPr>
      <w:pStyle w:val="ae"/>
      <w:rPr>
        <w:rFonts w:hint="eastAsia"/>
      </w:rPr>
    </w:pPr>
    <w:r>
      <w:rPr>
        <w:noProof/>
      </w:rPr>
      <mc:AlternateContent>
        <mc:Choice Requires="wps">
          <w:drawing>
            <wp:anchor distT="0" distB="0" distL="114300" distR="114300" simplePos="0" relativeHeight="251659264" behindDoc="0" locked="0" layoutInCell="1" allowOverlap="1" wp14:anchorId="5F8B3B3F" wp14:editId="4CEB4556">
              <wp:simplePos x="0" y="0"/>
              <wp:positionH relativeFrom="margin">
                <wp:align>center</wp:align>
              </wp:positionH>
              <wp:positionV relativeFrom="paragraph">
                <wp:posOffset>0</wp:posOffset>
              </wp:positionV>
              <wp:extent cx="58420" cy="139700"/>
              <wp:effectExtent l="0" t="0" r="0" b="0"/>
              <wp:wrapNone/>
              <wp:docPr id="384631256"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20" cy="139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18A0C0" w14:textId="77777777" w:rsidR="00183134" w:rsidRDefault="00183134">
                          <w:pPr>
                            <w:pStyle w:val="ae"/>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5F8B3B3F" id="_x0000_t202" coordsize="21600,21600" o:spt="202" path="m,l,21600r21600,l21600,xe">
              <v:stroke joinstyle="miter"/>
              <v:path gradientshapeok="t" o:connecttype="rect"/>
            </v:shapetype>
            <v:shape id="文本框 1" o:spid="_x0000_s1026" type="#_x0000_t202" style="position:absolute;margin-left:0;margin-top:0;width:4.6pt;height:11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" filled="f" stroked="f" strokeweight=".5pt">
              <v:textbox style="mso-fit-shape-to-text:t" inset="0,0,0,0">
                <w:txbxContent>
                  <w:p w14:paraId="6D18A0C0" w14:textId="77777777" w:rsidR="00183134" w:rsidRDefault="00183134">
                    <w:pPr>
                      <w:pStyle w:val="ae"/>
                      <w:rPr>
                        <w:rFonts w:hint="eastAsia"/>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B6CE0"/>
    <w:multiLevelType w:val="multilevel"/>
    <w:tmpl w:val="169B6CE0"/>
    <w:lvl w:ilvl="0">
      <w:start w:val="1"/>
      <w:numFmt w:val="chineseCountingThousand"/>
      <w:suff w:val="space"/>
      <w:lvlText w:val="%1、"/>
      <w:lvlJc w:val="left"/>
      <w:pPr>
        <w:ind w:left="0" w:firstLine="0"/>
      </w:pPr>
      <w:rPr>
        <w:rFonts w:hint="default"/>
      </w:rPr>
    </w:lvl>
    <w:lvl w:ilvl="1">
      <w:start w:val="1"/>
      <w:numFmt w:val="chineseCountingThousand"/>
      <w:suff w:val="space"/>
      <w:lvlText w:val="（%2）"/>
      <w:lvlJc w:val="left"/>
      <w:pPr>
        <w:ind w:left="0" w:firstLine="0"/>
      </w:pPr>
      <w:rPr>
        <w:rFonts w:hint="eastAsia"/>
      </w:rPr>
    </w:lvl>
    <w:lvl w:ilvl="2">
      <w:start w:val="1"/>
      <w:numFmt w:val="decimal"/>
      <w:suff w:val="space"/>
      <w:lvlText w:val="%3."/>
      <w:lvlJc w:val="left"/>
      <w:pPr>
        <w:ind w:left="0" w:firstLine="0"/>
      </w:pPr>
      <w:rPr>
        <w:rFonts w:hint="eastAsia"/>
        <w:b/>
        <w:bCs/>
      </w:rPr>
    </w:lvl>
    <w:lvl w:ilvl="3">
      <w:start w:val="1"/>
      <w:numFmt w:val="decimal"/>
      <w:suff w:val="space"/>
      <w:lvlText w:val="（%4）"/>
      <w:lvlJc w:val="left"/>
      <w:pPr>
        <w:ind w:left="0" w:firstLine="0"/>
      </w:pPr>
      <w:rPr>
        <w:rFonts w:hint="eastAsia"/>
      </w:rPr>
    </w:lvl>
    <w:lvl w:ilvl="4">
      <w:start w:val="1"/>
      <w:numFmt w:val="lowerLetter"/>
      <w:suff w:val="space"/>
      <w:lvlText w:val="%5)"/>
      <w:lvlJc w:val="left"/>
      <w:pPr>
        <w:ind w:left="0" w:firstLine="0"/>
      </w:pPr>
      <w:rPr>
        <w:rFonts w:hint="eastAsia"/>
      </w:rPr>
    </w:lvl>
    <w:lvl w:ilvl="5">
      <w:start w:val="1"/>
      <w:numFmt w:val="lowerRoman"/>
      <w:suff w:val="space"/>
      <w:lvlText w:val="%6."/>
      <w:lvlJc w:val="left"/>
      <w:pPr>
        <w:ind w:left="0" w:firstLine="0"/>
      </w:pPr>
      <w:rPr>
        <w:rFonts w:hint="eastAsia"/>
      </w:rPr>
    </w:lvl>
    <w:lvl w:ilvl="6">
      <w:start w:val="1"/>
      <w:numFmt w:val="decimal"/>
      <w:suff w:val="space"/>
      <w:lvlText w:val="%7."/>
      <w:lvlJc w:val="left"/>
      <w:pPr>
        <w:ind w:left="0" w:firstLine="0"/>
      </w:pPr>
      <w:rPr>
        <w:rFonts w:hint="eastAsia"/>
      </w:rPr>
    </w:lvl>
    <w:lvl w:ilvl="7">
      <w:start w:val="1"/>
      <w:numFmt w:val="lowerLetter"/>
      <w:suff w:val="space"/>
      <w:lvlText w:val="%8)"/>
      <w:lvlJc w:val="left"/>
      <w:pPr>
        <w:ind w:left="0" w:firstLine="0"/>
      </w:pPr>
      <w:rPr>
        <w:rFonts w:hint="eastAsia"/>
      </w:rPr>
    </w:lvl>
    <w:lvl w:ilvl="8">
      <w:start w:val="1"/>
      <w:numFmt w:val="lowerRoman"/>
      <w:suff w:val="space"/>
      <w:lvlText w:val="%9."/>
      <w:lvlJc w:val="right"/>
      <w:pPr>
        <w:ind w:left="0" w:firstLine="0"/>
      </w:pPr>
      <w:rPr>
        <w:rFonts w:hint="eastAsia"/>
      </w:rPr>
    </w:lvl>
  </w:abstractNum>
  <w:num w:numId="1" w16cid:durableId="21227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134"/>
    <w:rsid w:val="00183134"/>
    <w:rsid w:val="0075062C"/>
    <w:rsid w:val="00772052"/>
    <w:rsid w:val="00BB3B9B"/>
    <w:rsid w:val="00C6499E"/>
    <w:rsid w:val="00C77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3D096"/>
  <w15:chartTrackingRefBased/>
  <w15:docId w15:val="{747F0DA8-9BFA-4D7D-84C1-4C8C9CF45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3134"/>
    <w:pPr>
      <w:widowControl w:val="0"/>
      <w:jc w:val="both"/>
    </w:pPr>
  </w:style>
  <w:style w:type="paragraph" w:styleId="1">
    <w:name w:val="heading 1"/>
    <w:basedOn w:val="a"/>
    <w:next w:val="a"/>
    <w:link w:val="10"/>
    <w:uiPriority w:val="9"/>
    <w:qFormat/>
    <w:rsid w:val="00183134"/>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183134"/>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nhideWhenUsed/>
    <w:qFormat/>
    <w:rsid w:val="00183134"/>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183134"/>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183134"/>
    <w:pPr>
      <w:keepNext/>
      <w:keepLines/>
      <w:spacing w:before="80" w:after="40"/>
      <w:outlineLvl w:val="4"/>
    </w:pPr>
    <w:rPr>
      <w:rFonts w:cstheme="majorBidi"/>
      <w:color w:val="365F91" w:themeColor="accent1" w:themeShade="BF"/>
      <w:sz w:val="24"/>
      <w:szCs w:val="24"/>
    </w:rPr>
  </w:style>
  <w:style w:type="paragraph" w:styleId="6">
    <w:name w:val="heading 6"/>
    <w:basedOn w:val="a"/>
    <w:next w:val="a"/>
    <w:link w:val="60"/>
    <w:uiPriority w:val="9"/>
    <w:semiHidden/>
    <w:unhideWhenUsed/>
    <w:qFormat/>
    <w:rsid w:val="00183134"/>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18313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8313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8313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83134"/>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sid w:val="00183134"/>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qFormat/>
    <w:rsid w:val="00183134"/>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183134"/>
    <w:rPr>
      <w:rFonts w:cstheme="majorBidi"/>
      <w:color w:val="365F91" w:themeColor="accent1" w:themeShade="BF"/>
      <w:sz w:val="28"/>
      <w:szCs w:val="28"/>
    </w:rPr>
  </w:style>
  <w:style w:type="character" w:customStyle="1" w:styleId="50">
    <w:name w:val="标题 5 字符"/>
    <w:basedOn w:val="a0"/>
    <w:link w:val="5"/>
    <w:uiPriority w:val="9"/>
    <w:semiHidden/>
    <w:rsid w:val="00183134"/>
    <w:rPr>
      <w:rFonts w:cstheme="majorBidi"/>
      <w:color w:val="365F91" w:themeColor="accent1" w:themeShade="BF"/>
      <w:sz w:val="24"/>
      <w:szCs w:val="24"/>
    </w:rPr>
  </w:style>
  <w:style w:type="character" w:customStyle="1" w:styleId="60">
    <w:name w:val="标题 6 字符"/>
    <w:basedOn w:val="a0"/>
    <w:link w:val="6"/>
    <w:uiPriority w:val="9"/>
    <w:semiHidden/>
    <w:rsid w:val="00183134"/>
    <w:rPr>
      <w:rFonts w:cstheme="majorBidi"/>
      <w:b/>
      <w:bCs/>
      <w:color w:val="365F91" w:themeColor="accent1" w:themeShade="BF"/>
    </w:rPr>
  </w:style>
  <w:style w:type="character" w:customStyle="1" w:styleId="70">
    <w:name w:val="标题 7 字符"/>
    <w:basedOn w:val="a0"/>
    <w:link w:val="7"/>
    <w:uiPriority w:val="9"/>
    <w:semiHidden/>
    <w:rsid w:val="00183134"/>
    <w:rPr>
      <w:rFonts w:cstheme="majorBidi"/>
      <w:b/>
      <w:bCs/>
      <w:color w:val="595959" w:themeColor="text1" w:themeTint="A6"/>
    </w:rPr>
  </w:style>
  <w:style w:type="character" w:customStyle="1" w:styleId="80">
    <w:name w:val="标题 8 字符"/>
    <w:basedOn w:val="a0"/>
    <w:link w:val="8"/>
    <w:uiPriority w:val="9"/>
    <w:semiHidden/>
    <w:rsid w:val="00183134"/>
    <w:rPr>
      <w:rFonts w:cstheme="majorBidi"/>
      <w:color w:val="595959" w:themeColor="text1" w:themeTint="A6"/>
    </w:rPr>
  </w:style>
  <w:style w:type="character" w:customStyle="1" w:styleId="90">
    <w:name w:val="标题 9 字符"/>
    <w:basedOn w:val="a0"/>
    <w:link w:val="9"/>
    <w:uiPriority w:val="9"/>
    <w:semiHidden/>
    <w:rsid w:val="00183134"/>
    <w:rPr>
      <w:rFonts w:eastAsiaTheme="majorEastAsia" w:cstheme="majorBidi"/>
      <w:color w:val="595959" w:themeColor="text1" w:themeTint="A6"/>
    </w:rPr>
  </w:style>
  <w:style w:type="paragraph" w:styleId="a3">
    <w:name w:val="Title"/>
    <w:basedOn w:val="a"/>
    <w:next w:val="a"/>
    <w:link w:val="a4"/>
    <w:uiPriority w:val="10"/>
    <w:qFormat/>
    <w:rsid w:val="0018313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831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8313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831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83134"/>
    <w:pPr>
      <w:spacing w:before="160" w:after="160"/>
      <w:jc w:val="center"/>
    </w:pPr>
    <w:rPr>
      <w:i/>
      <w:iCs/>
      <w:color w:val="404040" w:themeColor="text1" w:themeTint="BF"/>
    </w:rPr>
  </w:style>
  <w:style w:type="character" w:customStyle="1" w:styleId="a8">
    <w:name w:val="引用 字符"/>
    <w:basedOn w:val="a0"/>
    <w:link w:val="a7"/>
    <w:uiPriority w:val="29"/>
    <w:rsid w:val="00183134"/>
    <w:rPr>
      <w:i/>
      <w:iCs/>
      <w:color w:val="404040" w:themeColor="text1" w:themeTint="BF"/>
    </w:rPr>
  </w:style>
  <w:style w:type="paragraph" w:styleId="a9">
    <w:name w:val="List Paragraph"/>
    <w:basedOn w:val="a"/>
    <w:uiPriority w:val="34"/>
    <w:qFormat/>
    <w:rsid w:val="00183134"/>
    <w:pPr>
      <w:ind w:left="720"/>
      <w:contextualSpacing/>
    </w:pPr>
  </w:style>
  <w:style w:type="character" w:styleId="aa">
    <w:name w:val="Intense Emphasis"/>
    <w:basedOn w:val="a0"/>
    <w:uiPriority w:val="21"/>
    <w:qFormat/>
    <w:rsid w:val="00183134"/>
    <w:rPr>
      <w:i/>
      <w:iCs/>
      <w:color w:val="365F91" w:themeColor="accent1" w:themeShade="BF"/>
    </w:rPr>
  </w:style>
  <w:style w:type="paragraph" w:styleId="ab">
    <w:name w:val="Intense Quote"/>
    <w:basedOn w:val="a"/>
    <w:next w:val="a"/>
    <w:link w:val="ac"/>
    <w:uiPriority w:val="30"/>
    <w:qFormat/>
    <w:rsid w:val="001831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0"/>
    <w:link w:val="ab"/>
    <w:uiPriority w:val="30"/>
    <w:rsid w:val="00183134"/>
    <w:rPr>
      <w:i/>
      <w:iCs/>
      <w:color w:val="365F91" w:themeColor="accent1" w:themeShade="BF"/>
    </w:rPr>
  </w:style>
  <w:style w:type="character" w:styleId="ad">
    <w:name w:val="Intense Reference"/>
    <w:basedOn w:val="a0"/>
    <w:uiPriority w:val="32"/>
    <w:qFormat/>
    <w:rsid w:val="00183134"/>
    <w:rPr>
      <w:b/>
      <w:bCs/>
      <w:smallCaps/>
      <w:color w:val="365F91" w:themeColor="accent1" w:themeShade="BF"/>
      <w:spacing w:val="5"/>
    </w:rPr>
  </w:style>
  <w:style w:type="paragraph" w:styleId="ae">
    <w:name w:val="footer"/>
    <w:basedOn w:val="a"/>
    <w:link w:val="af"/>
    <w:uiPriority w:val="99"/>
    <w:unhideWhenUsed/>
    <w:qFormat/>
    <w:rsid w:val="00183134"/>
    <w:pPr>
      <w:tabs>
        <w:tab w:val="center" w:pos="4153"/>
        <w:tab w:val="right" w:pos="8306"/>
      </w:tabs>
      <w:snapToGrid w:val="0"/>
      <w:jc w:val="left"/>
    </w:pPr>
    <w:rPr>
      <w:sz w:val="18"/>
      <w:szCs w:val="18"/>
    </w:rPr>
  </w:style>
  <w:style w:type="character" w:customStyle="1" w:styleId="af">
    <w:name w:val="页脚 字符"/>
    <w:basedOn w:val="a0"/>
    <w:link w:val="ae"/>
    <w:uiPriority w:val="99"/>
    <w:qFormat/>
    <w:rsid w:val="00183134"/>
    <w:rPr>
      <w:sz w:val="18"/>
      <w:szCs w:val="18"/>
    </w:rPr>
  </w:style>
  <w:style w:type="table" w:styleId="af0">
    <w:name w:val="Table Grid"/>
    <w:basedOn w:val="a1"/>
    <w:uiPriority w:val="39"/>
    <w:qFormat/>
    <w:rsid w:val="00183134"/>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258</Words>
  <Characters>1474</Characters>
  <Application>Microsoft Office Word</Application>
  <DocSecurity>0</DocSecurity>
  <Lines>12</Lines>
  <Paragraphs>3</Paragraphs>
  <ScaleCrop>false</ScaleCrop>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jiawen_guan</dc:creator>
  <cp:keywords/>
  <dc:description/>
  <cp:lastModifiedBy>jiawen_guan</cp:lastModifiedBy>
  <cp:revision>1</cp:revision>
  <dcterms:created xsi:type="dcterms:W3CDTF">2026-09-10T00:32:00Z</dcterms:created>
  <dcterms:modified xsi:type="dcterms:W3CDTF">2026-09-10T00:37:00Z</dcterms:modified>
</cp:coreProperties>
</file>