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D1252">
      <w:pPr>
        <w:ind w:firstLine="0"/>
        <w:rPr>
          <w:rFonts w:hint="eastAsia" w:ascii="仿宋_GB2312" w:hAnsi="仿宋_GB2312" w:cs="仿宋_GB2312"/>
          <w:b/>
          <w:bCs/>
        </w:rPr>
      </w:pPr>
      <w:r>
        <w:rPr>
          <w:rFonts w:hint="eastAsia"/>
          <w:b/>
          <w:bCs/>
        </w:rPr>
        <w:t>附件</w:t>
      </w:r>
      <w:r>
        <w:rPr>
          <w:rFonts w:hint="eastAsia"/>
          <w:b/>
          <w:bCs/>
          <w:lang w:val="en-US" w:eastAsia="zh-CN"/>
        </w:rPr>
        <w:t>4</w:t>
      </w:r>
      <w:r>
        <w:rPr>
          <w:rFonts w:hint="eastAsia" w:ascii="仿宋_GB2312" w:hAnsi="仿宋_GB2312" w:cs="仿宋_GB2312"/>
          <w:b/>
          <w:bCs/>
        </w:rPr>
        <w:t>：</w:t>
      </w:r>
    </w:p>
    <w:p w14:paraId="3A3B0F4E">
      <w:pPr>
        <w:pStyle w:val="3"/>
        <w:jc w:val="center"/>
        <w:rPr>
          <w:rFonts w:hint="eastAsia" w:ascii="方正小标宋简体" w:eastAsia="方正小标宋简体"/>
          <w:sz w:val="44"/>
          <w:szCs w:val="44"/>
        </w:rPr>
      </w:pPr>
      <w:r>
        <w:rPr>
          <w:rFonts w:hint="eastAsia" w:ascii="方正小标宋简体" w:eastAsia="方正小标宋简体"/>
          <w:sz w:val="44"/>
          <w:szCs w:val="44"/>
          <w:lang w:eastAsia="zh-CN"/>
        </w:rPr>
        <w:t>电动取皮机</w:t>
      </w:r>
      <w:r>
        <w:rPr>
          <w:rFonts w:hint="eastAsia" w:ascii="方正小标宋简体" w:eastAsia="方正小标宋简体"/>
          <w:sz w:val="44"/>
          <w:szCs w:val="44"/>
        </w:rPr>
        <w:t>技术要求及</w:t>
      </w:r>
      <w:r>
        <w:rPr>
          <w:rFonts w:hint="eastAsia" w:ascii="方正小标宋简体" w:eastAsia="方正小标宋简体"/>
          <w:sz w:val="44"/>
          <w:szCs w:val="44"/>
          <w:lang w:eastAsia="zh-CN"/>
        </w:rPr>
        <w:t>具</w:t>
      </w:r>
      <w:r>
        <w:rPr>
          <w:rFonts w:hint="eastAsia" w:ascii="方正小标宋简体" w:eastAsia="方正小标宋简体"/>
          <w:sz w:val="44"/>
          <w:szCs w:val="44"/>
        </w:rPr>
        <w:t>体评审标准</w:t>
      </w:r>
    </w:p>
    <w:p w14:paraId="3A2C0485">
      <w:pPr>
        <w:rPr>
          <w:rFonts w:hint="eastAsia" w:eastAsia="方正小标宋简体"/>
          <w:lang w:eastAsia="zh-CN"/>
        </w:rPr>
      </w:pPr>
      <w:r>
        <w:rPr>
          <w:rFonts w:hint="eastAsia" w:ascii="宋体" w:hAnsi="宋体" w:eastAsia="宋体" w:cs="宋体"/>
          <w:b/>
          <w:bCs/>
          <w:sz w:val="32"/>
          <w:szCs w:val="32"/>
          <w:lang w:eastAsia="zh-CN"/>
        </w:rPr>
        <w:t>一、电动取皮机技术要求</w:t>
      </w:r>
    </w:p>
    <w:tbl>
      <w:tblPr>
        <w:tblStyle w:val="11"/>
        <w:tblpPr w:leftFromText="180" w:rightFromText="180" w:vertAnchor="text" w:horzAnchor="page" w:tblpX="1486" w:tblpY="360"/>
        <w:tblOverlap w:val="never"/>
        <w:tblW w:w="913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45"/>
        <w:gridCol w:w="976"/>
        <w:gridCol w:w="6317"/>
      </w:tblGrid>
      <w:tr w14:paraId="370E33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75BBDC9D">
            <w:pPr>
              <w:pStyle w:val="30"/>
              <w:spacing w:line="400" w:lineRule="exact"/>
              <w:jc w:val="center"/>
              <w:rPr>
                <w:rFonts w:ascii="仿宋" w:hAnsi="仿宋" w:eastAsia="仿宋" w:cs="仿宋"/>
                <w:sz w:val="24"/>
                <w:szCs w:val="24"/>
              </w:rPr>
            </w:pPr>
            <w:r>
              <w:rPr>
                <w:rFonts w:ascii="仿宋" w:hAnsi="仿宋" w:eastAsia="仿宋" w:cs="仿宋"/>
                <w:sz w:val="24"/>
                <w:szCs w:val="24"/>
              </w:rPr>
              <w:t>参数性质</w:t>
            </w:r>
          </w:p>
        </w:tc>
        <w:tc>
          <w:tcPr>
            <w:tcW w:w="976" w:type="dxa"/>
            <w:vAlign w:val="center"/>
          </w:tcPr>
          <w:p w14:paraId="430B6FDE">
            <w:pPr>
              <w:pStyle w:val="30"/>
              <w:spacing w:line="400" w:lineRule="exact"/>
              <w:jc w:val="center"/>
              <w:rPr>
                <w:rFonts w:ascii="仿宋" w:hAnsi="仿宋" w:eastAsia="仿宋" w:cs="仿宋"/>
                <w:sz w:val="24"/>
                <w:szCs w:val="24"/>
              </w:rPr>
            </w:pPr>
            <w:r>
              <w:rPr>
                <w:rFonts w:ascii="仿宋" w:hAnsi="仿宋" w:eastAsia="仿宋" w:cs="仿宋"/>
                <w:sz w:val="24"/>
                <w:szCs w:val="24"/>
              </w:rPr>
              <w:t>序号</w:t>
            </w:r>
          </w:p>
        </w:tc>
        <w:tc>
          <w:tcPr>
            <w:tcW w:w="6317" w:type="dxa"/>
          </w:tcPr>
          <w:p w14:paraId="28CF62CE">
            <w:pPr>
              <w:pStyle w:val="30"/>
              <w:spacing w:line="400" w:lineRule="exact"/>
              <w:jc w:val="center"/>
              <w:rPr>
                <w:rFonts w:ascii="仿宋" w:hAnsi="仿宋" w:eastAsia="仿宋" w:cs="仿宋"/>
                <w:sz w:val="24"/>
                <w:szCs w:val="24"/>
              </w:rPr>
            </w:pPr>
            <w:r>
              <w:rPr>
                <w:rFonts w:ascii="仿宋" w:hAnsi="仿宋" w:eastAsia="仿宋" w:cs="仿宋"/>
                <w:sz w:val="24"/>
                <w:szCs w:val="24"/>
              </w:rPr>
              <w:t>具体技术(参数)要求</w:t>
            </w:r>
          </w:p>
        </w:tc>
      </w:tr>
      <w:tr w14:paraId="4CE86E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027F6A8D">
            <w:pPr>
              <w:widowControl/>
              <w:spacing w:line="400" w:lineRule="exact"/>
              <w:ind w:firstLine="641" w:firstLineChars="0"/>
              <w:jc w:val="left"/>
              <w:rPr>
                <w:rFonts w:hint="eastAsia" w:ascii="仿宋" w:hAnsi="仿宋" w:eastAsia="仿宋" w:cs="仿宋"/>
                <w:sz w:val="24"/>
              </w:rPr>
            </w:pPr>
            <w:r>
              <w:rPr>
                <w:rFonts w:hint="eastAsia" w:ascii="仿宋" w:hAnsi="仿宋" w:eastAsia="仿宋" w:cs="仿宋"/>
                <w:sz w:val="24"/>
              </w:rPr>
              <w:t>★</w:t>
            </w:r>
          </w:p>
        </w:tc>
        <w:tc>
          <w:tcPr>
            <w:tcW w:w="976" w:type="dxa"/>
            <w:vAlign w:val="center"/>
          </w:tcPr>
          <w:p w14:paraId="6D275F50">
            <w:pPr>
              <w:pStyle w:val="30"/>
              <w:numPr>
                <w:ilvl w:val="0"/>
                <w:numId w:val="1"/>
              </w:numPr>
              <w:spacing w:line="400" w:lineRule="exact"/>
              <w:ind w:left="425" w:leftChars="0" w:hanging="425" w:firstLineChars="0"/>
              <w:jc w:val="center"/>
              <w:rPr>
                <w:rFonts w:ascii="仿宋" w:hAnsi="仿宋" w:eastAsia="仿宋" w:cs="仿宋"/>
                <w:sz w:val="24"/>
                <w:szCs w:val="24"/>
              </w:rPr>
            </w:pPr>
          </w:p>
        </w:tc>
        <w:tc>
          <w:tcPr>
            <w:tcW w:w="6317" w:type="dxa"/>
            <w:vAlign w:val="top"/>
          </w:tcPr>
          <w:p w14:paraId="5E31241D">
            <w:pPr>
              <w:pStyle w:val="30"/>
              <w:spacing w:line="400" w:lineRule="exact"/>
              <w:rPr>
                <w:rFonts w:ascii="仿宋" w:hAnsi="仿宋" w:eastAsia="仿宋" w:cs="仿宋"/>
                <w:sz w:val="24"/>
                <w:szCs w:val="24"/>
                <w:lang w:eastAsia="zh-CN"/>
              </w:rPr>
            </w:pPr>
            <w:r>
              <w:rPr>
                <w:rFonts w:ascii="仿宋" w:hAnsi="仿宋" w:eastAsia="仿宋" w:cs="仿宋"/>
                <w:sz w:val="24"/>
                <w:szCs w:val="24"/>
                <w:lang w:eastAsia="zh-CN"/>
              </w:rPr>
              <w:t>一、总体要求：</w:t>
            </w:r>
          </w:p>
          <w:p w14:paraId="1A8073D5">
            <w:pPr>
              <w:keepNext w:val="0"/>
              <w:keepLines w:val="0"/>
              <w:widowControl/>
              <w:suppressLineNumbers w:val="0"/>
              <w:ind w:firstLine="0" w:firstLineChars="0"/>
              <w:jc w:val="left"/>
              <w:textAlignment w:val="top"/>
              <w:rPr>
                <w:rFonts w:ascii="仿宋" w:hAnsi="仿宋" w:eastAsia="仿宋" w:cs="仿宋"/>
                <w:sz w:val="24"/>
                <w:szCs w:val="24"/>
                <w:lang w:eastAsia="zh-CN"/>
              </w:rPr>
            </w:pPr>
            <w:r>
              <w:rPr>
                <w:rFonts w:hint="eastAsia" w:ascii="仿宋" w:hAnsi="仿宋" w:eastAsia="仿宋" w:cs="仿宋"/>
                <w:i w:val="0"/>
                <w:iCs w:val="0"/>
                <w:color w:val="000000"/>
                <w:kern w:val="0"/>
                <w:sz w:val="24"/>
                <w:szCs w:val="24"/>
                <w:u w:val="none"/>
                <w:lang w:val="en-US" w:eastAsia="zh-CN" w:bidi="ar"/>
              </w:rPr>
              <w:t>1.电动取皮机具有有效的医疗器械注册证明（提供注册证明文件）</w:t>
            </w:r>
          </w:p>
        </w:tc>
      </w:tr>
      <w:tr w14:paraId="374F87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0BF144B7">
            <w:pPr>
              <w:widowControl/>
              <w:spacing w:line="400" w:lineRule="exact"/>
              <w:ind w:firstLine="641" w:firstLineChars="0"/>
              <w:jc w:val="left"/>
              <w:rPr>
                <w:rFonts w:hint="eastAsia" w:ascii="仿宋" w:hAnsi="仿宋" w:eastAsia="仿宋" w:cs="仿宋"/>
                <w:sz w:val="24"/>
              </w:rPr>
            </w:pPr>
            <w:r>
              <w:rPr>
                <w:rFonts w:hint="eastAsia" w:ascii="仿宋" w:hAnsi="仿宋" w:eastAsia="仿宋" w:cs="仿宋"/>
                <w:sz w:val="24"/>
              </w:rPr>
              <w:t>★</w:t>
            </w:r>
          </w:p>
        </w:tc>
        <w:tc>
          <w:tcPr>
            <w:tcW w:w="976" w:type="dxa"/>
            <w:vAlign w:val="center"/>
          </w:tcPr>
          <w:p w14:paraId="41E5D7B4">
            <w:pPr>
              <w:pStyle w:val="30"/>
              <w:numPr>
                <w:ilvl w:val="0"/>
                <w:numId w:val="1"/>
              </w:numPr>
              <w:spacing w:line="400" w:lineRule="exact"/>
              <w:ind w:left="425" w:leftChars="0" w:hanging="425" w:firstLineChars="0"/>
              <w:jc w:val="center"/>
              <w:rPr>
                <w:rFonts w:ascii="仿宋" w:hAnsi="仿宋" w:eastAsia="仿宋" w:cs="仿宋"/>
                <w:sz w:val="24"/>
                <w:szCs w:val="24"/>
              </w:rPr>
            </w:pPr>
          </w:p>
        </w:tc>
        <w:tc>
          <w:tcPr>
            <w:tcW w:w="6317" w:type="dxa"/>
            <w:vAlign w:val="top"/>
          </w:tcPr>
          <w:p w14:paraId="2990E936">
            <w:pPr>
              <w:keepNext w:val="0"/>
              <w:keepLines w:val="0"/>
              <w:widowControl/>
              <w:suppressLineNumbers w:val="0"/>
              <w:ind w:firstLine="0" w:firstLineChars="0"/>
              <w:jc w:val="left"/>
              <w:textAlignment w:val="top"/>
              <w:rPr>
                <w:rFonts w:ascii="仿宋" w:hAnsi="仿宋" w:eastAsia="仿宋" w:cs="仿宋"/>
                <w:sz w:val="24"/>
                <w:szCs w:val="24"/>
                <w:lang w:eastAsia="zh-CN"/>
              </w:rPr>
            </w:pPr>
            <w:r>
              <w:rPr>
                <w:rFonts w:hint="eastAsia" w:ascii="仿宋" w:hAnsi="仿宋" w:eastAsia="仿宋" w:cs="仿宋"/>
                <w:i w:val="0"/>
                <w:iCs w:val="0"/>
                <w:color w:val="000000"/>
                <w:kern w:val="0"/>
                <w:sz w:val="24"/>
                <w:szCs w:val="24"/>
                <w:u w:val="none"/>
                <w:lang w:val="en-US" w:eastAsia="zh-CN" w:bidi="ar"/>
              </w:rPr>
              <w:t>2.适用范围：适用于皮肤移植时取皮</w:t>
            </w:r>
          </w:p>
        </w:tc>
      </w:tr>
      <w:tr w14:paraId="3BD25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01187187">
            <w:pPr>
              <w:widowControl/>
              <w:spacing w:line="400" w:lineRule="exact"/>
              <w:ind w:firstLine="641" w:firstLineChars="0"/>
              <w:jc w:val="left"/>
              <w:rPr>
                <w:rFonts w:hint="eastAsia" w:ascii="仿宋" w:hAnsi="仿宋" w:eastAsia="仿宋" w:cs="仿宋"/>
                <w:sz w:val="24"/>
              </w:rPr>
            </w:pPr>
            <w:r>
              <w:rPr>
                <w:rFonts w:hint="eastAsia" w:ascii="仿宋" w:hAnsi="仿宋" w:eastAsia="仿宋" w:cs="仿宋"/>
                <w:sz w:val="24"/>
              </w:rPr>
              <w:t>★</w:t>
            </w:r>
          </w:p>
        </w:tc>
        <w:tc>
          <w:tcPr>
            <w:tcW w:w="976" w:type="dxa"/>
            <w:vAlign w:val="center"/>
          </w:tcPr>
          <w:p w14:paraId="21C7FD2B">
            <w:pPr>
              <w:pStyle w:val="30"/>
              <w:numPr>
                <w:ilvl w:val="0"/>
                <w:numId w:val="1"/>
              </w:numPr>
              <w:spacing w:line="400" w:lineRule="exact"/>
              <w:ind w:left="425" w:leftChars="0" w:hanging="425" w:firstLineChars="0"/>
              <w:jc w:val="center"/>
              <w:rPr>
                <w:rFonts w:ascii="仿宋" w:hAnsi="仿宋" w:eastAsia="仿宋" w:cs="仿宋"/>
                <w:sz w:val="24"/>
                <w:szCs w:val="24"/>
              </w:rPr>
            </w:pPr>
          </w:p>
        </w:tc>
        <w:tc>
          <w:tcPr>
            <w:tcW w:w="6317" w:type="dxa"/>
            <w:vAlign w:val="top"/>
          </w:tcPr>
          <w:p w14:paraId="10482C26">
            <w:pPr>
              <w:keepNext w:val="0"/>
              <w:keepLines w:val="0"/>
              <w:widowControl/>
              <w:suppressLineNumbers w:val="0"/>
              <w:ind w:firstLine="0" w:firstLineChars="0"/>
              <w:jc w:val="left"/>
              <w:textAlignment w:val="top"/>
              <w:rPr>
                <w:rFonts w:ascii="仿宋" w:hAnsi="仿宋" w:eastAsia="仿宋" w:cs="仿宋"/>
                <w:sz w:val="24"/>
                <w:szCs w:val="24"/>
                <w:lang w:eastAsia="zh-CN"/>
              </w:rPr>
            </w:pPr>
            <w:r>
              <w:rPr>
                <w:rFonts w:hint="eastAsia" w:ascii="仿宋" w:hAnsi="仿宋" w:eastAsia="仿宋" w:cs="仿宋"/>
                <w:i w:val="0"/>
                <w:iCs w:val="0"/>
                <w:color w:val="000000"/>
                <w:kern w:val="0"/>
                <w:sz w:val="24"/>
                <w:szCs w:val="24"/>
                <w:u w:val="none"/>
                <w:lang w:val="en-US" w:eastAsia="zh-CN" w:bidi="ar"/>
              </w:rPr>
              <w:t>3.保修期≥5年（包含手持件、控制器、消毒盒等一切附属配件）</w:t>
            </w:r>
          </w:p>
        </w:tc>
      </w:tr>
      <w:tr w14:paraId="72E61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107C2DCF">
            <w:pPr>
              <w:widowControl/>
              <w:spacing w:line="400" w:lineRule="exact"/>
              <w:ind w:firstLine="641" w:firstLineChars="0"/>
              <w:jc w:val="left"/>
              <w:rPr>
                <w:rFonts w:hint="eastAsia" w:ascii="仿宋" w:hAnsi="仿宋" w:eastAsia="仿宋" w:cs="仿宋"/>
                <w:sz w:val="24"/>
              </w:rPr>
            </w:pPr>
            <w:r>
              <w:rPr>
                <w:rFonts w:hint="eastAsia" w:ascii="仿宋" w:hAnsi="仿宋" w:eastAsia="仿宋" w:cs="仿宋"/>
                <w:sz w:val="24"/>
              </w:rPr>
              <w:t>★</w:t>
            </w:r>
          </w:p>
        </w:tc>
        <w:tc>
          <w:tcPr>
            <w:tcW w:w="976" w:type="dxa"/>
            <w:vAlign w:val="center"/>
          </w:tcPr>
          <w:p w14:paraId="06F62995">
            <w:pPr>
              <w:pStyle w:val="30"/>
              <w:numPr>
                <w:ilvl w:val="0"/>
                <w:numId w:val="1"/>
              </w:numPr>
              <w:spacing w:line="400" w:lineRule="exact"/>
              <w:ind w:left="425" w:leftChars="0" w:hanging="425" w:firstLineChars="0"/>
              <w:jc w:val="center"/>
              <w:rPr>
                <w:rFonts w:ascii="仿宋" w:hAnsi="仿宋" w:eastAsia="仿宋" w:cs="仿宋"/>
                <w:sz w:val="24"/>
                <w:szCs w:val="24"/>
              </w:rPr>
            </w:pPr>
          </w:p>
        </w:tc>
        <w:tc>
          <w:tcPr>
            <w:tcW w:w="6317" w:type="dxa"/>
            <w:vAlign w:val="top"/>
          </w:tcPr>
          <w:p w14:paraId="2CA5E244">
            <w:pPr>
              <w:keepNext w:val="0"/>
              <w:keepLines w:val="0"/>
              <w:widowControl/>
              <w:suppressLineNumbers w:val="0"/>
              <w:ind w:firstLine="0" w:firstLineChars="0"/>
              <w:jc w:val="left"/>
              <w:textAlignment w:val="top"/>
              <w:rPr>
                <w:rFonts w:ascii="仿宋" w:hAnsi="仿宋" w:eastAsia="仿宋" w:cs="仿宋"/>
                <w:sz w:val="24"/>
                <w:szCs w:val="24"/>
                <w:lang w:eastAsia="zh-CN"/>
              </w:rPr>
            </w:pPr>
            <w:r>
              <w:rPr>
                <w:rFonts w:hint="eastAsia" w:ascii="仿宋" w:hAnsi="仿宋" w:eastAsia="仿宋" w:cs="仿宋"/>
                <w:i w:val="0"/>
                <w:iCs w:val="0"/>
                <w:color w:val="000000"/>
                <w:kern w:val="0"/>
                <w:sz w:val="24"/>
                <w:szCs w:val="24"/>
                <w:u w:val="none"/>
                <w:lang w:val="en-US" w:eastAsia="zh-CN" w:bidi="ar"/>
              </w:rPr>
              <w:t>4.所投设备为非召回、非停产设备</w:t>
            </w:r>
          </w:p>
        </w:tc>
      </w:tr>
      <w:tr w14:paraId="203A3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0079ACAA">
            <w:pPr>
              <w:widowControl/>
              <w:spacing w:line="400" w:lineRule="exact"/>
              <w:ind w:firstLine="641" w:firstLineChars="0"/>
              <w:jc w:val="left"/>
              <w:rPr>
                <w:rFonts w:hint="eastAsia" w:ascii="仿宋" w:hAnsi="仿宋" w:eastAsia="仿宋" w:cs="仿宋"/>
                <w:sz w:val="24"/>
              </w:rPr>
            </w:pPr>
            <w:r>
              <w:rPr>
                <w:rFonts w:ascii="仿宋" w:hAnsi="仿宋" w:eastAsia="仿宋" w:cs="仿宋"/>
                <w:sz w:val="24"/>
              </w:rPr>
              <w:t>▲</w:t>
            </w:r>
          </w:p>
        </w:tc>
        <w:tc>
          <w:tcPr>
            <w:tcW w:w="976" w:type="dxa"/>
            <w:vAlign w:val="center"/>
          </w:tcPr>
          <w:p w14:paraId="56E1B6B8">
            <w:pPr>
              <w:pStyle w:val="30"/>
              <w:numPr>
                <w:ilvl w:val="0"/>
                <w:numId w:val="1"/>
              </w:numPr>
              <w:spacing w:line="400" w:lineRule="exact"/>
              <w:ind w:left="425" w:leftChars="0" w:hanging="425" w:firstLineChars="0"/>
              <w:jc w:val="center"/>
              <w:rPr>
                <w:rFonts w:ascii="仿宋" w:hAnsi="仿宋" w:eastAsia="仿宋" w:cs="仿宋"/>
                <w:sz w:val="24"/>
                <w:szCs w:val="24"/>
              </w:rPr>
            </w:pPr>
          </w:p>
        </w:tc>
        <w:tc>
          <w:tcPr>
            <w:tcW w:w="6317" w:type="dxa"/>
            <w:vAlign w:val="top"/>
          </w:tcPr>
          <w:p w14:paraId="2C2B9D31">
            <w:pPr>
              <w:keepNext w:val="0"/>
              <w:keepLines w:val="0"/>
              <w:widowControl/>
              <w:suppressLineNumbers w:val="0"/>
              <w:ind w:firstLine="0" w:firstLineChars="0"/>
              <w:jc w:val="left"/>
              <w:textAlignment w:val="top"/>
              <w:rPr>
                <w:rFonts w:ascii="仿宋" w:hAnsi="仿宋" w:eastAsia="仿宋" w:cs="仿宋"/>
                <w:sz w:val="24"/>
                <w:szCs w:val="24"/>
                <w:lang w:eastAsia="zh-CN"/>
              </w:rPr>
            </w:pPr>
            <w:r>
              <w:rPr>
                <w:rFonts w:hint="eastAsia" w:ascii="仿宋" w:hAnsi="仿宋" w:eastAsia="仿宋" w:cs="仿宋"/>
                <w:i w:val="0"/>
                <w:iCs w:val="0"/>
                <w:color w:val="000000"/>
                <w:kern w:val="0"/>
                <w:sz w:val="24"/>
                <w:szCs w:val="24"/>
                <w:u w:val="none"/>
                <w:lang w:val="en-US" w:eastAsia="zh-CN" w:bidi="ar"/>
              </w:rPr>
              <w:t>5、设备主机使用年限≥8年，（提供同型号产品铭牌/标签或使用说明书等证明）</w:t>
            </w:r>
          </w:p>
        </w:tc>
      </w:tr>
      <w:tr w14:paraId="3E4122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74A09A7B">
            <w:pPr>
              <w:widowControl/>
              <w:spacing w:line="400" w:lineRule="exact"/>
              <w:ind w:firstLine="641" w:firstLineChars="0"/>
              <w:jc w:val="center"/>
              <w:rPr>
                <w:rFonts w:hint="eastAsia" w:ascii="仿宋" w:hAnsi="仿宋" w:eastAsia="仿宋" w:cs="仿宋"/>
                <w:sz w:val="24"/>
              </w:rPr>
            </w:pPr>
          </w:p>
        </w:tc>
        <w:tc>
          <w:tcPr>
            <w:tcW w:w="976" w:type="dxa"/>
            <w:vAlign w:val="center"/>
          </w:tcPr>
          <w:p w14:paraId="5053545F">
            <w:pPr>
              <w:pStyle w:val="30"/>
              <w:numPr>
                <w:ilvl w:val="0"/>
                <w:numId w:val="1"/>
              </w:numPr>
              <w:spacing w:line="400" w:lineRule="exact"/>
              <w:ind w:left="425" w:leftChars="0" w:hanging="425" w:firstLineChars="0"/>
              <w:jc w:val="center"/>
              <w:rPr>
                <w:rFonts w:ascii="仿宋" w:hAnsi="仿宋" w:eastAsia="仿宋" w:cs="仿宋"/>
                <w:sz w:val="24"/>
                <w:szCs w:val="24"/>
              </w:rPr>
            </w:pPr>
          </w:p>
        </w:tc>
        <w:tc>
          <w:tcPr>
            <w:tcW w:w="6317" w:type="dxa"/>
            <w:vAlign w:val="top"/>
          </w:tcPr>
          <w:p w14:paraId="27D8ABBC">
            <w:pPr>
              <w:keepNext w:val="0"/>
              <w:keepLines w:val="0"/>
              <w:widowControl/>
              <w:suppressLineNumbers w:val="0"/>
              <w:ind w:firstLine="0" w:firstLineChars="0"/>
              <w:jc w:val="left"/>
              <w:textAlignment w:val="top"/>
              <w:rPr>
                <w:rFonts w:ascii="仿宋" w:hAnsi="仿宋" w:eastAsia="仿宋" w:cs="仿宋"/>
                <w:sz w:val="24"/>
                <w:szCs w:val="24"/>
                <w:lang w:eastAsia="zh-CN"/>
              </w:rPr>
            </w:pPr>
            <w:r>
              <w:rPr>
                <w:rFonts w:hint="eastAsia" w:ascii="仿宋" w:hAnsi="仿宋" w:eastAsia="仿宋" w:cs="仿宋"/>
                <w:i w:val="0"/>
                <w:iCs w:val="0"/>
                <w:color w:val="000000"/>
                <w:kern w:val="0"/>
                <w:sz w:val="24"/>
                <w:szCs w:val="24"/>
                <w:u w:val="none"/>
                <w:lang w:val="en-US" w:eastAsia="zh-CN" w:bidi="ar"/>
              </w:rPr>
              <w:t>6、设备交货日期不得超过生产日期后6个月</w:t>
            </w:r>
          </w:p>
        </w:tc>
      </w:tr>
      <w:tr w14:paraId="00F35E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30" w:hRule="atLeast"/>
        </w:trPr>
        <w:tc>
          <w:tcPr>
            <w:tcW w:w="1845" w:type="dxa"/>
            <w:vAlign w:val="center"/>
          </w:tcPr>
          <w:p w14:paraId="63D0262B">
            <w:pPr>
              <w:widowControl/>
              <w:spacing w:line="400" w:lineRule="exact"/>
              <w:jc w:val="left"/>
              <w:rPr>
                <w:rFonts w:hint="eastAsia" w:ascii="仿宋" w:hAnsi="仿宋" w:eastAsia="仿宋" w:cs="仿宋"/>
                <w:sz w:val="24"/>
              </w:rPr>
            </w:pPr>
            <w:r>
              <w:rPr>
                <w:rFonts w:ascii="仿宋" w:hAnsi="仿宋" w:eastAsia="仿宋" w:cs="仿宋"/>
                <w:sz w:val="24"/>
              </w:rPr>
              <w:t>▲</w:t>
            </w:r>
          </w:p>
        </w:tc>
        <w:tc>
          <w:tcPr>
            <w:tcW w:w="976" w:type="dxa"/>
            <w:vAlign w:val="center"/>
          </w:tcPr>
          <w:p w14:paraId="43553E66">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3847B5C8">
            <w:pPr>
              <w:pStyle w:val="30"/>
              <w:spacing w:line="400" w:lineRule="exact"/>
              <w:rPr>
                <w:rFonts w:ascii="仿宋" w:hAnsi="仿宋" w:eastAsia="仿宋" w:cs="仿宋"/>
                <w:color w:val="000000" w:themeColor="text1"/>
                <w:sz w:val="24"/>
                <w:szCs w:val="24"/>
                <w:lang w:eastAsia="zh-CN"/>
                <w14:textFill>
                  <w14:solidFill>
                    <w14:schemeClr w14:val="tx1"/>
                  </w14:solidFill>
                </w14:textFill>
              </w:rPr>
            </w:pPr>
            <w:r>
              <w:rPr>
                <w:rFonts w:ascii="仿宋" w:hAnsi="仿宋" w:eastAsia="仿宋" w:cs="仿宋"/>
                <w:color w:val="000000" w:themeColor="text1"/>
                <w:sz w:val="24"/>
                <w:szCs w:val="24"/>
                <w:lang w:eastAsia="zh-CN"/>
                <w14:textFill>
                  <w14:solidFill>
                    <w14:schemeClr w14:val="tx1"/>
                  </w14:solidFill>
                </w14:textFill>
              </w:rPr>
              <w:t>二、主要技术要求（达到或优于）</w:t>
            </w:r>
          </w:p>
          <w:p w14:paraId="3215949F">
            <w:pPr>
              <w:pStyle w:val="30"/>
              <w:spacing w:line="400" w:lineRule="exact"/>
              <w:rPr>
                <w:rFonts w:ascii="仿宋" w:hAnsi="仿宋" w:eastAsia="仿宋" w:cs="仿宋"/>
                <w:color w:val="000000" w:themeColor="text1"/>
                <w:sz w:val="24"/>
                <w:szCs w:val="24"/>
                <w:u w:val="single"/>
                <w:lang w:eastAsia="zh-CN"/>
                <w14:textFill>
                  <w14:solidFill>
                    <w14:schemeClr w14:val="tx1"/>
                  </w14:solidFill>
                </w14:textFill>
              </w:rPr>
            </w:pPr>
            <w:r>
              <w:rPr>
                <w:rFonts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i w:val="0"/>
                <w:iCs w:val="0"/>
                <w:color w:val="000000"/>
                <w:kern w:val="0"/>
                <w:sz w:val="24"/>
                <w:szCs w:val="24"/>
                <w:u w:val="none"/>
                <w:lang w:val="en-US" w:eastAsia="zh-CN" w:bidi="ar"/>
              </w:rPr>
              <w:t>工作转速可调范围须涵盖 4500r/min 至 8100r/min（即最低转速≤4500r/min，且最高转速≥8100r/min）；在该区间内可实现转速可调</w:t>
            </w:r>
          </w:p>
        </w:tc>
      </w:tr>
      <w:tr w14:paraId="52AFE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138B52F4">
            <w:pPr>
              <w:widowControl/>
              <w:spacing w:line="400" w:lineRule="exact"/>
              <w:jc w:val="left"/>
              <w:rPr>
                <w:rFonts w:hint="eastAsia" w:ascii="仿宋" w:hAnsi="仿宋" w:eastAsia="仿宋" w:cs="仿宋"/>
                <w:sz w:val="24"/>
              </w:rPr>
            </w:pPr>
            <w:r>
              <w:rPr>
                <w:rFonts w:ascii="仿宋" w:hAnsi="仿宋" w:eastAsia="仿宋" w:cs="仿宋"/>
                <w:sz w:val="24"/>
              </w:rPr>
              <w:t>▲</w:t>
            </w:r>
          </w:p>
        </w:tc>
        <w:tc>
          <w:tcPr>
            <w:tcW w:w="976" w:type="dxa"/>
            <w:vAlign w:val="center"/>
          </w:tcPr>
          <w:p w14:paraId="62FA081F">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2D167C6B">
            <w:pPr>
              <w:pStyle w:val="30"/>
              <w:spacing w:line="400" w:lineRule="exact"/>
              <w:rPr>
                <w:rFonts w:ascii="仿宋" w:hAnsi="仿宋" w:eastAsia="仿宋" w:cs="仿宋"/>
                <w:color w:val="000000" w:themeColor="text1"/>
                <w:sz w:val="24"/>
                <w:szCs w:val="24"/>
                <w:u w:val="single"/>
                <w:lang w:eastAsia="zh-CN"/>
                <w14:textFill>
                  <w14:solidFill>
                    <w14:schemeClr w14:val="tx1"/>
                  </w14:solidFill>
                </w14:textFill>
              </w:rPr>
            </w:pPr>
            <w:r>
              <w:rPr>
                <w:rFonts w:ascii="仿宋" w:hAnsi="仿宋" w:eastAsia="仿宋" w:cs="仿宋"/>
                <w:color w:val="000000" w:themeColor="text1"/>
                <w:sz w:val="24"/>
                <w:szCs w:val="24"/>
                <w:lang w:eastAsia="zh-CN"/>
                <w14:textFill>
                  <w14:solidFill>
                    <w14:schemeClr w14:val="tx1"/>
                  </w14:solidFill>
                </w14:textFill>
              </w:rPr>
              <w:t>2.</w:t>
            </w:r>
            <w:r>
              <w:rPr>
                <w:rFonts w:hint="eastAsia" w:ascii="仿宋" w:hAnsi="仿宋" w:eastAsia="仿宋" w:cs="仿宋"/>
                <w:i w:val="0"/>
                <w:iCs w:val="0"/>
                <w:color w:val="000000"/>
                <w:kern w:val="0"/>
                <w:sz w:val="24"/>
                <w:szCs w:val="24"/>
                <w:u w:val="none"/>
                <w:lang w:val="en-US" w:eastAsia="zh-CN" w:bidi="ar"/>
              </w:rPr>
              <w:t>手持件摆头尺寸≤40mm×20mm×25mm（长×宽×高），便于在体表各部位（含凹凸部位）灵活操作</w:t>
            </w:r>
          </w:p>
        </w:tc>
      </w:tr>
      <w:tr w14:paraId="2ED16F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45" w:type="dxa"/>
            <w:vAlign w:val="center"/>
          </w:tcPr>
          <w:p w14:paraId="422EF03F">
            <w:pPr>
              <w:widowControl/>
              <w:spacing w:line="400" w:lineRule="exact"/>
              <w:jc w:val="left"/>
              <w:rPr>
                <w:rFonts w:hint="eastAsia" w:ascii="仿宋" w:hAnsi="仿宋" w:eastAsia="仿宋" w:cs="仿宋"/>
                <w:sz w:val="24"/>
              </w:rPr>
            </w:pPr>
            <w:r>
              <w:rPr>
                <w:rFonts w:ascii="仿宋" w:hAnsi="仿宋" w:eastAsia="仿宋" w:cs="仿宋"/>
                <w:sz w:val="24"/>
              </w:rPr>
              <w:t>▲</w:t>
            </w:r>
          </w:p>
        </w:tc>
        <w:tc>
          <w:tcPr>
            <w:tcW w:w="976" w:type="dxa"/>
            <w:vAlign w:val="center"/>
          </w:tcPr>
          <w:p w14:paraId="1DC37BDA">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6F73214D">
            <w:pPr>
              <w:pStyle w:val="30"/>
              <w:spacing w:line="400" w:lineRule="exact"/>
              <w:rPr>
                <w:rFonts w:ascii="仿宋" w:hAnsi="仿宋" w:eastAsia="仿宋" w:cs="仿宋"/>
                <w:color w:val="000000" w:themeColor="text1"/>
                <w:sz w:val="24"/>
                <w:szCs w:val="24"/>
                <w:u w:val="single"/>
                <w:lang w:eastAsia="zh-CN"/>
                <w14:textFill>
                  <w14:solidFill>
                    <w14:schemeClr w14:val="tx1"/>
                  </w14:solidFill>
                </w14:textFill>
              </w:rPr>
            </w:pPr>
            <w:r>
              <w:rPr>
                <w:rFonts w:ascii="仿宋" w:hAnsi="仿宋" w:eastAsia="仿宋" w:cs="仿宋"/>
                <w:color w:val="000000" w:themeColor="text1"/>
                <w:sz w:val="24"/>
                <w:szCs w:val="24"/>
                <w:lang w:eastAsia="zh-CN"/>
                <w14:textFill>
                  <w14:solidFill>
                    <w14:schemeClr w14:val="tx1"/>
                  </w14:solidFill>
                </w14:textFill>
              </w:rPr>
              <w:t>3.</w:t>
            </w:r>
            <w:r>
              <w:rPr>
                <w:rFonts w:hint="eastAsia" w:ascii="仿宋" w:hAnsi="仿宋" w:eastAsia="仿宋" w:cs="仿宋"/>
                <w:i w:val="0"/>
                <w:iCs w:val="0"/>
                <w:color w:val="000000"/>
                <w:kern w:val="0"/>
                <w:sz w:val="24"/>
                <w:szCs w:val="24"/>
                <w:u w:val="none"/>
                <w:lang w:val="en-US" w:eastAsia="zh-CN" w:bidi="ar"/>
              </w:rPr>
              <w:t>配套消毒盒，用于装载手持件及附件消毒，如消毒盒未包含在产品注册证结构及组成中，须提供消毒盒的材质证明及灭菌兼容性验证资料</w:t>
            </w:r>
          </w:p>
        </w:tc>
      </w:tr>
      <w:tr w14:paraId="187A66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33A6A447">
            <w:pPr>
              <w:widowControl/>
              <w:spacing w:line="400" w:lineRule="exact"/>
              <w:jc w:val="left"/>
              <w:rPr>
                <w:rFonts w:hint="eastAsia" w:ascii="仿宋" w:hAnsi="仿宋" w:eastAsia="仿宋" w:cs="仿宋"/>
                <w:sz w:val="24"/>
              </w:rPr>
            </w:pPr>
          </w:p>
        </w:tc>
        <w:tc>
          <w:tcPr>
            <w:tcW w:w="976" w:type="dxa"/>
            <w:vAlign w:val="center"/>
          </w:tcPr>
          <w:p w14:paraId="1AF8F516">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5BDF16CC">
            <w:pPr>
              <w:pStyle w:val="30"/>
              <w:spacing w:line="400" w:lineRule="exact"/>
              <w:rPr>
                <w:rFonts w:ascii="仿宋" w:hAnsi="仿宋" w:eastAsia="仿宋" w:cs="仿宋"/>
                <w:color w:val="000000" w:themeColor="text1"/>
                <w:sz w:val="24"/>
                <w:szCs w:val="24"/>
                <w:lang w:eastAsia="zh-CN"/>
                <w14:textFill>
                  <w14:solidFill>
                    <w14:schemeClr w14:val="tx1"/>
                  </w14:solidFill>
                </w14:textFill>
              </w:rPr>
            </w:pPr>
            <w:r>
              <w:rPr>
                <w:rFonts w:ascii="仿宋" w:hAnsi="仿宋" w:eastAsia="仿宋" w:cs="仿宋"/>
                <w:color w:val="000000" w:themeColor="text1"/>
                <w:sz w:val="24"/>
                <w:szCs w:val="24"/>
                <w:lang w:eastAsia="zh-CN"/>
                <w14:textFill>
                  <w14:solidFill>
                    <w14:schemeClr w14:val="tx1"/>
                  </w14:solidFill>
                </w14:textFill>
              </w:rPr>
              <w:t>4.</w:t>
            </w:r>
            <w:r>
              <w:rPr>
                <w:rFonts w:hint="eastAsia" w:ascii="仿宋" w:hAnsi="仿宋" w:eastAsia="仿宋" w:cs="仿宋"/>
                <w:i w:val="0"/>
                <w:iCs w:val="0"/>
                <w:color w:val="000000"/>
                <w:kern w:val="0"/>
                <w:sz w:val="24"/>
                <w:szCs w:val="24"/>
                <w:u w:val="none"/>
                <w:lang w:val="en-US" w:eastAsia="zh-CN" w:bidi="ar"/>
              </w:rPr>
              <w:t>具有CE认证证书</w:t>
            </w:r>
          </w:p>
        </w:tc>
      </w:tr>
      <w:tr w14:paraId="3FC16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2AC3C683">
            <w:pPr>
              <w:widowControl/>
              <w:spacing w:line="400" w:lineRule="exact"/>
              <w:jc w:val="left"/>
              <w:rPr>
                <w:rFonts w:hint="eastAsia" w:ascii="仿宋" w:hAnsi="仿宋" w:eastAsia="仿宋" w:cs="仿宋"/>
                <w:sz w:val="24"/>
              </w:rPr>
            </w:pPr>
          </w:p>
        </w:tc>
        <w:tc>
          <w:tcPr>
            <w:tcW w:w="976" w:type="dxa"/>
            <w:vAlign w:val="center"/>
          </w:tcPr>
          <w:p w14:paraId="33A35A5F">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1CCEACA1">
            <w:pPr>
              <w:pStyle w:val="30"/>
              <w:spacing w:line="400" w:lineRule="exact"/>
              <w:rPr>
                <w:rFonts w:ascii="仿宋" w:hAnsi="仿宋" w:eastAsia="仿宋" w:cs="仿宋"/>
                <w:color w:val="000000" w:themeColor="text1"/>
                <w:sz w:val="24"/>
                <w:szCs w:val="24"/>
                <w:lang w:eastAsia="zh-CN"/>
                <w14:textFill>
                  <w14:solidFill>
                    <w14:schemeClr w14:val="tx1"/>
                  </w14:solidFill>
                </w14:textFill>
              </w:rPr>
            </w:pPr>
            <w:r>
              <w:rPr>
                <w:rFonts w:ascii="仿宋" w:hAnsi="仿宋" w:eastAsia="仿宋" w:cs="仿宋"/>
                <w:color w:val="000000" w:themeColor="text1"/>
                <w:sz w:val="24"/>
                <w:szCs w:val="24"/>
                <w:lang w:eastAsia="zh-CN"/>
                <w14:textFill>
                  <w14:solidFill>
                    <w14:schemeClr w14:val="tx1"/>
                  </w14:solidFill>
                </w14:textFill>
              </w:rPr>
              <w:t>5.</w:t>
            </w:r>
            <w:r>
              <w:rPr>
                <w:rFonts w:hint="eastAsia" w:ascii="仿宋" w:hAnsi="仿宋" w:eastAsia="仿宋" w:cs="仿宋"/>
                <w:i w:val="0"/>
                <w:iCs w:val="0"/>
                <w:color w:val="000000"/>
                <w:kern w:val="0"/>
                <w:sz w:val="24"/>
                <w:szCs w:val="24"/>
                <w:u w:val="none"/>
                <w:lang w:val="en-US" w:eastAsia="zh-CN" w:bidi="ar"/>
              </w:rPr>
              <w:t>电源电压：AC220V；频率：50Hz；输入功率：≤150VA</w:t>
            </w:r>
          </w:p>
        </w:tc>
      </w:tr>
      <w:tr w14:paraId="475294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797B41FD">
            <w:pPr>
              <w:widowControl/>
              <w:spacing w:line="400" w:lineRule="exact"/>
              <w:jc w:val="left"/>
              <w:rPr>
                <w:rFonts w:hint="eastAsia" w:ascii="仿宋" w:hAnsi="仿宋" w:eastAsia="仿宋" w:cs="仿宋"/>
                <w:sz w:val="24"/>
              </w:rPr>
            </w:pPr>
          </w:p>
        </w:tc>
        <w:tc>
          <w:tcPr>
            <w:tcW w:w="976" w:type="dxa"/>
            <w:vAlign w:val="center"/>
          </w:tcPr>
          <w:p w14:paraId="089F8A57">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6B8ACFCB">
            <w:pPr>
              <w:pStyle w:val="30"/>
              <w:spacing w:line="400" w:lineRule="exact"/>
              <w:rPr>
                <w:rFonts w:ascii="仿宋" w:hAnsi="仿宋" w:eastAsia="仿宋" w:cs="仿宋"/>
                <w:sz w:val="24"/>
                <w:szCs w:val="24"/>
                <w:lang w:eastAsia="zh-CN"/>
              </w:rPr>
            </w:pPr>
            <w:r>
              <w:rPr>
                <w:rFonts w:ascii="仿宋" w:hAnsi="仿宋" w:eastAsia="仿宋" w:cs="仿宋"/>
                <w:sz w:val="24"/>
                <w:szCs w:val="24"/>
                <w:lang w:eastAsia="zh-CN"/>
              </w:rPr>
              <w:t>6.</w:t>
            </w:r>
            <w:r>
              <w:rPr>
                <w:rFonts w:hint="eastAsia" w:ascii="仿宋" w:hAnsi="仿宋" w:eastAsia="仿宋" w:cs="仿宋"/>
                <w:i w:val="0"/>
                <w:iCs w:val="0"/>
                <w:color w:val="000000"/>
                <w:kern w:val="0"/>
                <w:sz w:val="24"/>
                <w:szCs w:val="24"/>
                <w:u w:val="none"/>
                <w:lang w:val="en-US" w:eastAsia="zh-CN" w:bidi="ar"/>
              </w:rPr>
              <w:t>噪声：≤60dB（A）</w:t>
            </w:r>
          </w:p>
        </w:tc>
      </w:tr>
      <w:tr w14:paraId="3B0122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1C457087">
            <w:pPr>
              <w:widowControl/>
              <w:spacing w:line="400" w:lineRule="exact"/>
              <w:jc w:val="left"/>
              <w:rPr>
                <w:rFonts w:hint="eastAsia" w:ascii="仿宋" w:hAnsi="仿宋" w:eastAsia="仿宋" w:cs="仿宋"/>
                <w:sz w:val="24"/>
              </w:rPr>
            </w:pPr>
            <w:r>
              <w:rPr>
                <w:rFonts w:ascii="仿宋" w:hAnsi="仿宋" w:eastAsia="仿宋" w:cs="仿宋"/>
                <w:sz w:val="24"/>
              </w:rPr>
              <w:t>▲</w:t>
            </w:r>
          </w:p>
        </w:tc>
        <w:tc>
          <w:tcPr>
            <w:tcW w:w="976" w:type="dxa"/>
            <w:vAlign w:val="center"/>
          </w:tcPr>
          <w:p w14:paraId="2EFAAEA1">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620A2A2E">
            <w:pPr>
              <w:pStyle w:val="30"/>
              <w:spacing w:line="400" w:lineRule="exact"/>
              <w:rPr>
                <w:rFonts w:ascii="仿宋" w:hAnsi="仿宋" w:eastAsia="仿宋" w:cs="仿宋"/>
                <w:sz w:val="24"/>
                <w:szCs w:val="24"/>
                <w:lang w:eastAsia="zh-CN"/>
              </w:rPr>
            </w:pPr>
            <w:r>
              <w:rPr>
                <w:rFonts w:hint="eastAsia" w:ascii="仿宋" w:hAnsi="仿宋" w:eastAsia="仿宋" w:cs="仿宋"/>
                <w:sz w:val="24"/>
                <w:szCs w:val="24"/>
                <w:lang w:val="en-US" w:eastAsia="zh-CN"/>
              </w:rPr>
              <w:t>7</w:t>
            </w:r>
            <w:r>
              <w:rPr>
                <w:rFonts w:ascii="仿宋" w:hAnsi="仿宋" w:eastAsia="仿宋" w:cs="仿宋"/>
                <w:sz w:val="24"/>
                <w:szCs w:val="24"/>
                <w:lang w:eastAsia="zh-CN"/>
              </w:rPr>
              <w:t>.</w:t>
            </w:r>
            <w:r>
              <w:rPr>
                <w:rFonts w:hint="eastAsia" w:ascii="仿宋" w:hAnsi="仿宋" w:eastAsia="仿宋" w:cs="仿宋"/>
                <w:i w:val="0"/>
                <w:iCs w:val="0"/>
                <w:color w:val="000000"/>
                <w:kern w:val="0"/>
                <w:sz w:val="24"/>
                <w:szCs w:val="24"/>
                <w:u w:val="none"/>
                <w:lang w:val="en-US" w:eastAsia="zh-CN" w:bidi="ar"/>
              </w:rPr>
              <w:t>取皮宽度：25mm、42mm、51mm、76mm、102mm五种宽度</w:t>
            </w:r>
          </w:p>
        </w:tc>
      </w:tr>
      <w:tr w14:paraId="189EF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35A097CB">
            <w:pPr>
              <w:widowControl/>
              <w:spacing w:line="400" w:lineRule="exact"/>
              <w:jc w:val="left"/>
              <w:rPr>
                <w:rFonts w:hint="eastAsia" w:ascii="仿宋" w:hAnsi="仿宋" w:eastAsia="仿宋" w:cs="仿宋"/>
                <w:sz w:val="24"/>
              </w:rPr>
            </w:pPr>
            <w:r>
              <w:rPr>
                <w:rFonts w:ascii="仿宋" w:hAnsi="仿宋" w:eastAsia="仿宋" w:cs="仿宋"/>
                <w:sz w:val="24"/>
              </w:rPr>
              <w:t>▲</w:t>
            </w:r>
          </w:p>
        </w:tc>
        <w:tc>
          <w:tcPr>
            <w:tcW w:w="976" w:type="dxa"/>
            <w:vAlign w:val="center"/>
          </w:tcPr>
          <w:p w14:paraId="6CEC1C9D">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39129305">
            <w:pPr>
              <w:pStyle w:val="30"/>
              <w:spacing w:line="400" w:lineRule="exact"/>
              <w:rPr>
                <w:rFonts w:ascii="仿宋" w:hAnsi="仿宋" w:eastAsia="仿宋" w:cs="仿宋"/>
                <w:sz w:val="24"/>
                <w:szCs w:val="24"/>
                <w:lang w:eastAsia="zh-CN"/>
              </w:rPr>
            </w:pPr>
            <w:r>
              <w:rPr>
                <w:rFonts w:hint="eastAsia" w:ascii="仿宋" w:hAnsi="仿宋" w:eastAsia="仿宋" w:cs="仿宋"/>
                <w:sz w:val="24"/>
                <w:szCs w:val="24"/>
                <w:lang w:val="en-US" w:eastAsia="zh-CN"/>
              </w:rPr>
              <w:t>8</w:t>
            </w:r>
            <w:r>
              <w:rPr>
                <w:rFonts w:ascii="仿宋" w:hAnsi="仿宋" w:eastAsia="仿宋" w:cs="仿宋"/>
                <w:sz w:val="24"/>
                <w:szCs w:val="24"/>
                <w:lang w:eastAsia="zh-CN"/>
              </w:rPr>
              <w:t>.</w:t>
            </w:r>
            <w:r>
              <w:rPr>
                <w:rFonts w:hint="eastAsia" w:ascii="仿宋" w:hAnsi="仿宋" w:eastAsia="仿宋" w:cs="仿宋"/>
                <w:i w:val="0"/>
                <w:iCs w:val="0"/>
                <w:color w:val="000000"/>
                <w:kern w:val="0"/>
                <w:sz w:val="24"/>
                <w:szCs w:val="24"/>
                <w:u w:val="none"/>
                <w:lang w:val="en-US" w:eastAsia="zh-CN" w:bidi="ar"/>
              </w:rPr>
              <w:t>取皮厚度：0mm～0.75mm，步进0.05mm</w:t>
            </w:r>
          </w:p>
        </w:tc>
      </w:tr>
      <w:tr w14:paraId="2A9F2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251753A8">
            <w:pPr>
              <w:pStyle w:val="30"/>
              <w:spacing w:line="400" w:lineRule="exact"/>
              <w:jc w:val="left"/>
              <w:rPr>
                <w:rFonts w:ascii="仿宋" w:hAnsi="仿宋" w:eastAsia="仿宋" w:cs="仿宋"/>
                <w:sz w:val="24"/>
                <w:szCs w:val="24"/>
              </w:rPr>
            </w:pPr>
          </w:p>
        </w:tc>
        <w:tc>
          <w:tcPr>
            <w:tcW w:w="976" w:type="dxa"/>
            <w:vAlign w:val="center"/>
          </w:tcPr>
          <w:p w14:paraId="0AF1167F">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5DF8BE08">
            <w:pPr>
              <w:pStyle w:val="30"/>
              <w:spacing w:line="400" w:lineRule="exact"/>
              <w:rPr>
                <w:rFonts w:ascii="仿宋" w:hAnsi="仿宋" w:eastAsia="仿宋" w:cs="仿宋"/>
                <w:sz w:val="24"/>
                <w:szCs w:val="24"/>
                <w:lang w:eastAsia="zh-CN"/>
              </w:rPr>
            </w:pPr>
            <w:r>
              <w:rPr>
                <w:rFonts w:hint="eastAsia" w:ascii="仿宋" w:hAnsi="仿宋" w:eastAsia="仿宋" w:cs="仿宋"/>
                <w:sz w:val="24"/>
                <w:szCs w:val="24"/>
                <w:lang w:val="en-US" w:eastAsia="zh-CN"/>
              </w:rPr>
              <w:t>9</w:t>
            </w:r>
            <w:r>
              <w:rPr>
                <w:rFonts w:ascii="仿宋" w:hAnsi="仿宋" w:eastAsia="仿宋" w:cs="仿宋"/>
                <w:sz w:val="24"/>
                <w:szCs w:val="24"/>
                <w:lang w:eastAsia="zh-CN"/>
              </w:rPr>
              <w:t>.</w:t>
            </w:r>
            <w:r>
              <w:rPr>
                <w:rFonts w:hint="eastAsia" w:ascii="仿宋" w:hAnsi="仿宋" w:eastAsia="仿宋" w:cs="仿宋"/>
                <w:i w:val="0"/>
                <w:iCs w:val="0"/>
                <w:color w:val="000000"/>
                <w:kern w:val="0"/>
                <w:sz w:val="24"/>
                <w:szCs w:val="24"/>
                <w:u w:val="none"/>
                <w:lang w:val="en-US" w:eastAsia="zh-CN" w:bidi="ar"/>
              </w:rPr>
              <w:t>手持件重量：≤0.85kg</w:t>
            </w:r>
          </w:p>
        </w:tc>
      </w:tr>
      <w:tr w14:paraId="3A3682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368499B2">
            <w:pPr>
              <w:pStyle w:val="30"/>
              <w:spacing w:line="400" w:lineRule="exact"/>
              <w:jc w:val="left"/>
              <w:rPr>
                <w:rFonts w:hint="default" w:ascii="仿宋" w:hAnsi="仿宋" w:eastAsia="仿宋" w:cs="仿宋"/>
                <w:sz w:val="24"/>
                <w:szCs w:val="24"/>
                <w:lang w:val="en-US" w:eastAsia="zh-CN"/>
              </w:rPr>
            </w:pPr>
          </w:p>
        </w:tc>
        <w:tc>
          <w:tcPr>
            <w:tcW w:w="976" w:type="dxa"/>
            <w:vAlign w:val="center"/>
          </w:tcPr>
          <w:p w14:paraId="1808FFA2">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2C43A5A5">
            <w:pPr>
              <w:pStyle w:val="30"/>
              <w:spacing w:line="400" w:lineRule="exact"/>
              <w:rPr>
                <w:rFonts w:ascii="仿宋" w:hAnsi="仿宋" w:eastAsia="仿宋" w:cs="仿宋"/>
                <w:sz w:val="24"/>
                <w:szCs w:val="24"/>
                <w:lang w:eastAsia="zh-CN"/>
              </w:rPr>
            </w:pPr>
            <w:r>
              <w:rPr>
                <w:rFonts w:ascii="仿宋" w:hAnsi="仿宋" w:eastAsia="仿宋" w:cs="仿宋"/>
                <w:sz w:val="24"/>
                <w:szCs w:val="24"/>
                <w:lang w:eastAsia="zh-CN"/>
              </w:rPr>
              <w:t>1</w:t>
            </w:r>
            <w:r>
              <w:rPr>
                <w:rFonts w:hint="eastAsia" w:ascii="仿宋" w:hAnsi="仿宋" w:eastAsia="仿宋" w:cs="仿宋"/>
                <w:sz w:val="24"/>
                <w:szCs w:val="24"/>
                <w:lang w:val="en-US" w:eastAsia="zh-CN"/>
              </w:rPr>
              <w:t>0</w:t>
            </w:r>
            <w:r>
              <w:rPr>
                <w:rFonts w:ascii="仿宋" w:hAnsi="仿宋" w:eastAsia="仿宋" w:cs="仿宋"/>
                <w:sz w:val="24"/>
                <w:szCs w:val="24"/>
                <w:lang w:eastAsia="zh-CN"/>
              </w:rPr>
              <w:t>.</w:t>
            </w:r>
            <w:r>
              <w:rPr>
                <w:rFonts w:hint="eastAsia" w:ascii="仿宋" w:hAnsi="仿宋" w:eastAsia="仿宋" w:cs="仿宋"/>
                <w:i w:val="0"/>
                <w:iCs w:val="0"/>
                <w:color w:val="000000"/>
                <w:kern w:val="0"/>
                <w:sz w:val="24"/>
                <w:szCs w:val="24"/>
                <w:u w:val="none"/>
                <w:lang w:val="en-US" w:eastAsia="zh-CN" w:bidi="ar"/>
              </w:rPr>
              <w:t>连接线与手持件、控制器分体设计，双向可插拔，便于分离消毒</w:t>
            </w:r>
          </w:p>
        </w:tc>
      </w:tr>
      <w:tr w14:paraId="26ED4E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584601B0">
            <w:pPr>
              <w:widowControl/>
              <w:spacing w:line="400" w:lineRule="exact"/>
              <w:ind w:left="0" w:leftChars="0" w:firstLine="0" w:firstLineChars="0"/>
              <w:jc w:val="left"/>
              <w:rPr>
                <w:rFonts w:hint="eastAsia" w:ascii="仿宋" w:hAnsi="仿宋" w:eastAsia="仿宋" w:cs="仿宋"/>
                <w:sz w:val="24"/>
              </w:rPr>
            </w:pPr>
            <w:r>
              <w:rPr>
                <w:rFonts w:hint="eastAsia" w:ascii="仿宋" w:hAnsi="仿宋" w:eastAsia="仿宋" w:cs="仿宋"/>
                <w:sz w:val="24"/>
                <w:lang w:val="en-US" w:eastAsia="zh-CN"/>
              </w:rPr>
              <w:t xml:space="preserve">     </w:t>
            </w:r>
            <w:r>
              <w:rPr>
                <w:rFonts w:ascii="仿宋" w:hAnsi="仿宋" w:eastAsia="仿宋" w:cs="仿宋"/>
                <w:sz w:val="24"/>
              </w:rPr>
              <w:t>▲</w:t>
            </w:r>
          </w:p>
        </w:tc>
        <w:tc>
          <w:tcPr>
            <w:tcW w:w="976" w:type="dxa"/>
            <w:vAlign w:val="center"/>
          </w:tcPr>
          <w:p w14:paraId="10BBB4C0">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0C11EE3D">
            <w:pPr>
              <w:pStyle w:val="30"/>
              <w:spacing w:line="400" w:lineRule="exact"/>
              <w:rPr>
                <w:rFonts w:hint="default"/>
                <w:sz w:val="21"/>
              </w:rPr>
            </w:pPr>
            <w:r>
              <w:rPr>
                <w:rFonts w:ascii="仿宋" w:hAnsi="仿宋" w:eastAsia="仿宋" w:cs="仿宋"/>
                <w:sz w:val="24"/>
                <w:szCs w:val="24"/>
                <w:lang w:eastAsia="zh-CN"/>
              </w:rPr>
              <w:t>1</w:t>
            </w:r>
            <w:r>
              <w:rPr>
                <w:rFonts w:hint="eastAsia" w:ascii="仿宋" w:hAnsi="仿宋" w:eastAsia="仿宋" w:cs="仿宋"/>
                <w:sz w:val="24"/>
                <w:szCs w:val="24"/>
                <w:lang w:val="en-US" w:eastAsia="zh-CN"/>
              </w:rPr>
              <w:t>1</w:t>
            </w:r>
            <w:r>
              <w:rPr>
                <w:rFonts w:ascii="仿宋" w:hAnsi="仿宋" w:eastAsia="仿宋" w:cs="仿宋"/>
                <w:sz w:val="24"/>
                <w:szCs w:val="24"/>
                <w:lang w:eastAsia="zh-CN"/>
              </w:rPr>
              <w:t>.</w:t>
            </w:r>
            <w:r>
              <w:rPr>
                <w:rFonts w:hint="eastAsia" w:ascii="仿宋" w:hAnsi="仿宋" w:eastAsia="仿宋" w:cs="仿宋"/>
                <w:i w:val="0"/>
                <w:iCs w:val="0"/>
                <w:color w:val="000000"/>
                <w:kern w:val="0"/>
                <w:sz w:val="24"/>
                <w:szCs w:val="24"/>
                <w:u w:val="none"/>
                <w:lang w:val="en-US" w:eastAsia="zh-CN" w:bidi="ar"/>
              </w:rPr>
              <w:t>控制方式：手持件触点开关控制，具有安全保护功能</w:t>
            </w:r>
          </w:p>
        </w:tc>
      </w:tr>
      <w:tr w14:paraId="72788F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78E4F697">
            <w:pPr>
              <w:widowControl/>
              <w:spacing w:line="400" w:lineRule="exact"/>
              <w:jc w:val="left"/>
              <w:rPr>
                <w:rFonts w:hint="eastAsia" w:ascii="仿宋" w:hAnsi="仿宋" w:eastAsia="仿宋" w:cs="仿宋"/>
                <w:sz w:val="24"/>
              </w:rPr>
            </w:pPr>
          </w:p>
        </w:tc>
        <w:tc>
          <w:tcPr>
            <w:tcW w:w="976" w:type="dxa"/>
            <w:vAlign w:val="center"/>
          </w:tcPr>
          <w:p w14:paraId="02D4FBC4">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3FCB39E3">
            <w:pPr>
              <w:pStyle w:val="30"/>
              <w:spacing w:line="400" w:lineRule="exact"/>
              <w:rPr>
                <w:rFonts w:ascii="仿宋" w:hAnsi="仿宋" w:eastAsia="仿宋" w:cs="仿宋"/>
                <w:sz w:val="24"/>
                <w:szCs w:val="24"/>
                <w:lang w:eastAsia="zh-CN"/>
              </w:rPr>
            </w:pPr>
            <w:r>
              <w:rPr>
                <w:rFonts w:ascii="仿宋" w:hAnsi="仿宋" w:eastAsia="仿宋" w:cs="仿宋"/>
                <w:sz w:val="24"/>
                <w:szCs w:val="24"/>
                <w:lang w:eastAsia="zh-CN"/>
              </w:rPr>
              <w:t>1</w:t>
            </w:r>
            <w:r>
              <w:rPr>
                <w:rFonts w:hint="eastAsia" w:ascii="仿宋" w:hAnsi="仿宋" w:eastAsia="仿宋" w:cs="仿宋"/>
                <w:sz w:val="24"/>
                <w:szCs w:val="24"/>
                <w:lang w:val="en-US" w:eastAsia="zh-CN"/>
              </w:rPr>
              <w:t>2</w:t>
            </w:r>
            <w:r>
              <w:rPr>
                <w:rFonts w:ascii="仿宋" w:hAnsi="仿宋" w:eastAsia="仿宋" w:cs="仿宋"/>
                <w:sz w:val="24"/>
                <w:szCs w:val="24"/>
                <w:lang w:eastAsia="zh-CN"/>
              </w:rPr>
              <w:t>.</w:t>
            </w:r>
            <w:r>
              <w:rPr>
                <w:rFonts w:hint="eastAsia" w:ascii="仿宋" w:hAnsi="仿宋" w:eastAsia="仿宋" w:cs="仿宋"/>
                <w:i w:val="0"/>
                <w:iCs w:val="0"/>
                <w:color w:val="000000"/>
                <w:kern w:val="0"/>
                <w:sz w:val="24"/>
                <w:szCs w:val="24"/>
                <w:u w:val="none"/>
                <w:lang w:val="en-US" w:eastAsia="zh-CN" w:bidi="ar"/>
              </w:rPr>
              <w:t>空心杯无刷电机，工作安静震动小</w:t>
            </w:r>
          </w:p>
        </w:tc>
      </w:tr>
      <w:tr w14:paraId="0E008B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30" w:hRule="atLeast"/>
        </w:trPr>
        <w:tc>
          <w:tcPr>
            <w:tcW w:w="1845" w:type="dxa"/>
            <w:vAlign w:val="center"/>
          </w:tcPr>
          <w:p w14:paraId="161FA6DE">
            <w:pPr>
              <w:widowControl/>
              <w:spacing w:line="400" w:lineRule="exact"/>
              <w:jc w:val="left"/>
              <w:rPr>
                <w:rFonts w:hint="eastAsia" w:ascii="仿宋" w:hAnsi="仿宋" w:eastAsia="仿宋" w:cs="仿宋"/>
                <w:sz w:val="24"/>
              </w:rPr>
            </w:pPr>
          </w:p>
        </w:tc>
        <w:tc>
          <w:tcPr>
            <w:tcW w:w="976" w:type="dxa"/>
            <w:vAlign w:val="center"/>
          </w:tcPr>
          <w:p w14:paraId="57515735">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668B6DCF">
            <w:pPr>
              <w:pStyle w:val="30"/>
              <w:spacing w:line="400" w:lineRule="exact"/>
              <w:rPr>
                <w:rFonts w:ascii="仿宋" w:hAnsi="仿宋" w:eastAsia="仿宋" w:cs="仿宋"/>
                <w:sz w:val="24"/>
                <w:szCs w:val="24"/>
                <w:lang w:eastAsia="zh-CN"/>
              </w:rPr>
            </w:pPr>
            <w:r>
              <w:rPr>
                <w:rFonts w:ascii="仿宋" w:hAnsi="仿宋" w:eastAsia="仿宋" w:cs="仿宋"/>
                <w:sz w:val="24"/>
                <w:szCs w:val="24"/>
                <w:lang w:eastAsia="zh-CN"/>
              </w:rPr>
              <w:t>1</w:t>
            </w:r>
            <w:r>
              <w:rPr>
                <w:rFonts w:hint="eastAsia" w:ascii="仿宋" w:hAnsi="仿宋" w:eastAsia="仿宋" w:cs="仿宋"/>
                <w:sz w:val="24"/>
                <w:szCs w:val="24"/>
                <w:lang w:val="en-US" w:eastAsia="zh-CN"/>
              </w:rPr>
              <w:t>3</w:t>
            </w:r>
            <w:r>
              <w:rPr>
                <w:rFonts w:ascii="仿宋" w:hAnsi="仿宋" w:eastAsia="仿宋" w:cs="仿宋"/>
                <w:sz w:val="24"/>
                <w:szCs w:val="24"/>
                <w:lang w:eastAsia="zh-CN"/>
              </w:rPr>
              <w:t>.</w:t>
            </w:r>
            <w:r>
              <w:rPr>
                <w:rFonts w:hint="eastAsia" w:ascii="仿宋" w:hAnsi="仿宋" w:eastAsia="仿宋" w:cs="仿宋"/>
                <w:i w:val="0"/>
                <w:iCs w:val="0"/>
                <w:color w:val="000000"/>
                <w:kern w:val="0"/>
                <w:sz w:val="24"/>
                <w:szCs w:val="24"/>
                <w:u w:val="none"/>
                <w:lang w:val="en-US" w:eastAsia="zh-CN" w:bidi="ar"/>
              </w:rPr>
              <w:t>控制主机采用轻质高强材质制造，具有防碰撞设计及电子元器件保护措施</w:t>
            </w:r>
          </w:p>
        </w:tc>
      </w:tr>
      <w:tr w14:paraId="48D80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45E40875">
            <w:pPr>
              <w:widowControl/>
              <w:spacing w:line="400" w:lineRule="exact"/>
              <w:jc w:val="left"/>
              <w:rPr>
                <w:rFonts w:hint="eastAsia" w:ascii="仿宋" w:hAnsi="仿宋" w:eastAsia="仿宋" w:cs="仿宋"/>
                <w:sz w:val="24"/>
              </w:rPr>
            </w:pPr>
          </w:p>
        </w:tc>
        <w:tc>
          <w:tcPr>
            <w:tcW w:w="976" w:type="dxa"/>
            <w:vAlign w:val="center"/>
          </w:tcPr>
          <w:p w14:paraId="58253EF4">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27ECF74D">
            <w:pPr>
              <w:pStyle w:val="30"/>
              <w:spacing w:line="400" w:lineRule="exact"/>
              <w:rPr>
                <w:rFonts w:ascii="仿宋" w:hAnsi="仿宋" w:eastAsia="仿宋" w:cs="仿宋"/>
                <w:sz w:val="24"/>
                <w:szCs w:val="24"/>
                <w:lang w:eastAsia="zh-CN"/>
              </w:rPr>
            </w:pPr>
            <w:r>
              <w:rPr>
                <w:rFonts w:ascii="仿宋" w:hAnsi="仿宋" w:eastAsia="仿宋" w:cs="仿宋"/>
                <w:sz w:val="24"/>
                <w:szCs w:val="24"/>
                <w:lang w:eastAsia="zh-CN"/>
              </w:rPr>
              <w:t>1</w:t>
            </w:r>
            <w:r>
              <w:rPr>
                <w:rFonts w:hint="eastAsia" w:ascii="仿宋" w:hAnsi="仿宋" w:eastAsia="仿宋" w:cs="仿宋"/>
                <w:sz w:val="24"/>
                <w:szCs w:val="24"/>
                <w:lang w:val="en-US" w:eastAsia="zh-CN"/>
              </w:rPr>
              <w:t>4</w:t>
            </w:r>
            <w:r>
              <w:rPr>
                <w:rFonts w:ascii="仿宋" w:hAnsi="仿宋" w:eastAsia="仿宋" w:cs="仿宋"/>
                <w:sz w:val="24"/>
                <w:szCs w:val="24"/>
                <w:lang w:eastAsia="zh-CN"/>
              </w:rPr>
              <w:t>.消毒方式：可高温高压、环氧乙烷等多种方式灭菌</w:t>
            </w:r>
          </w:p>
        </w:tc>
      </w:tr>
      <w:tr w14:paraId="3F44B3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2234D080">
            <w:pPr>
              <w:widowControl/>
              <w:spacing w:line="400" w:lineRule="exact"/>
              <w:jc w:val="left"/>
              <w:rPr>
                <w:rFonts w:hint="eastAsia" w:ascii="仿宋" w:hAnsi="仿宋" w:eastAsia="仿宋" w:cs="仿宋"/>
                <w:sz w:val="24"/>
              </w:rPr>
            </w:pPr>
          </w:p>
        </w:tc>
        <w:tc>
          <w:tcPr>
            <w:tcW w:w="976" w:type="dxa"/>
            <w:vAlign w:val="center"/>
          </w:tcPr>
          <w:p w14:paraId="5F2F8874">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3D92AEB2">
            <w:pPr>
              <w:pStyle w:val="30"/>
              <w:spacing w:line="400" w:lineRule="exact"/>
              <w:rPr>
                <w:rFonts w:ascii="仿宋" w:hAnsi="仿宋" w:eastAsia="仿宋" w:cs="仿宋"/>
                <w:sz w:val="24"/>
                <w:szCs w:val="24"/>
                <w:lang w:eastAsia="zh-CN"/>
              </w:rPr>
            </w:pPr>
            <w:r>
              <w:rPr>
                <w:rFonts w:ascii="仿宋" w:hAnsi="仿宋" w:eastAsia="仿宋" w:cs="仿宋"/>
                <w:sz w:val="24"/>
                <w:szCs w:val="24"/>
                <w:lang w:eastAsia="zh-CN"/>
              </w:rPr>
              <w:t>1</w:t>
            </w:r>
            <w:r>
              <w:rPr>
                <w:rFonts w:hint="eastAsia" w:ascii="仿宋" w:hAnsi="仿宋" w:eastAsia="仿宋" w:cs="仿宋"/>
                <w:sz w:val="24"/>
                <w:szCs w:val="24"/>
                <w:lang w:val="en-US" w:eastAsia="zh-CN"/>
              </w:rPr>
              <w:t>5</w:t>
            </w:r>
            <w:r>
              <w:rPr>
                <w:rFonts w:ascii="仿宋" w:hAnsi="仿宋" w:eastAsia="仿宋" w:cs="仿宋"/>
                <w:sz w:val="24"/>
                <w:szCs w:val="24"/>
                <w:lang w:eastAsia="zh-CN"/>
              </w:rPr>
              <w:t>.医用取皮刀片材质：进口不锈钢材质</w:t>
            </w:r>
          </w:p>
        </w:tc>
      </w:tr>
      <w:tr w14:paraId="2F437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49A1C250">
            <w:pPr>
              <w:widowControl/>
              <w:spacing w:line="400" w:lineRule="exact"/>
              <w:jc w:val="left"/>
              <w:rPr>
                <w:rFonts w:hint="eastAsia" w:ascii="仿宋" w:hAnsi="仿宋" w:eastAsia="仿宋" w:cs="仿宋"/>
                <w:sz w:val="24"/>
              </w:rPr>
            </w:pPr>
          </w:p>
        </w:tc>
        <w:tc>
          <w:tcPr>
            <w:tcW w:w="976" w:type="dxa"/>
            <w:vAlign w:val="center"/>
          </w:tcPr>
          <w:p w14:paraId="5DA8547F">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6A90E9F2">
            <w:pPr>
              <w:pStyle w:val="30"/>
              <w:numPr>
                <w:ilvl w:val="0"/>
                <w:numId w:val="2"/>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医用取皮刀片长度106mm，硬度≥35HRC（或同等硬度其他单位：≥650HV10）</w:t>
            </w:r>
          </w:p>
        </w:tc>
      </w:tr>
      <w:tr w14:paraId="60DD36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2EE29E9C">
            <w:pPr>
              <w:widowControl/>
              <w:spacing w:line="400" w:lineRule="exact"/>
              <w:jc w:val="left"/>
              <w:rPr>
                <w:rFonts w:ascii="仿宋" w:hAnsi="仿宋" w:eastAsia="仿宋" w:cs="仿宋"/>
                <w:sz w:val="24"/>
              </w:rPr>
            </w:pPr>
            <w:r>
              <w:rPr>
                <w:rFonts w:hint="eastAsia" w:ascii="仿宋" w:hAnsi="仿宋" w:eastAsia="仿宋" w:cs="仿宋"/>
                <w:sz w:val="24"/>
              </w:rPr>
              <w:t>★</w:t>
            </w:r>
          </w:p>
        </w:tc>
        <w:tc>
          <w:tcPr>
            <w:tcW w:w="976" w:type="dxa"/>
            <w:vAlign w:val="center"/>
          </w:tcPr>
          <w:p w14:paraId="6FEC71E6">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7469BC96">
            <w:pPr>
              <w:pStyle w:val="30"/>
              <w:numPr>
                <w:ilvl w:val="0"/>
                <w:numId w:val="2"/>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耗材要求</w:t>
            </w:r>
          </w:p>
          <w:p w14:paraId="38A8BC81">
            <w:pPr>
              <w:pStyle w:val="30"/>
              <w:numPr>
                <w:ilvl w:val="0"/>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1全部耗材（依据相关法规不属于医疗器械管理的除外）均须取得医疗器械注册证或备案凭证，所报产品须符合《医疗器械分类目录》及相关法律法规的规定。投标人应承诺，除不作医用耗材管理的产品外，其投标产品均已纳入广东省医疗保障局规定的国家医疗保障信息平台药品和医用耗材招标采购管理子系统（以下简称“新招采子系统”）目录范围。</w:t>
            </w:r>
          </w:p>
          <w:p w14:paraId="59CBBF85">
            <w:pPr>
              <w:pStyle w:val="30"/>
              <w:numPr>
                <w:ilvl w:val="0"/>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w:t>
            </w:r>
            <w:r>
              <w:rPr>
                <w:rFonts w:hint="eastAsia" w:ascii="仿宋" w:hAnsi="仿宋" w:eastAsia="仿宋" w:cs="仿宋"/>
                <w:sz w:val="24"/>
                <w:szCs w:val="24"/>
                <w:lang w:eastAsia="zh-CN"/>
              </w:rPr>
              <w:t>.2本项目仅限于设备采购，不包含配套耗材的采购，配套耗材的报价和相关条款只为控制设备全生命周期的使用成本。所有配套耗材的采购均须通过广东省医疗保障局规定的“新招采子系统”国家医疗保障信息平台药品和医用耗材招标采购管理子系统或政府部门规定的平台进行；不作医疗器械管理的耗材除需另行签订采购合同。</w:t>
            </w:r>
          </w:p>
          <w:p w14:paraId="18E9ADC2">
            <w:pPr>
              <w:pStyle w:val="30"/>
              <w:numPr>
                <w:ilvl w:val="0"/>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投标人须在投标文件中提供承诺函、医疗器械注册证、备案凭证及不作医疗器械管理的证明等材料予以响应。</w:t>
            </w:r>
          </w:p>
        </w:tc>
      </w:tr>
      <w:tr w14:paraId="4767C4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52165CEC">
            <w:pPr>
              <w:widowControl/>
              <w:spacing w:line="400" w:lineRule="exact"/>
              <w:jc w:val="left"/>
              <w:rPr>
                <w:rFonts w:ascii="仿宋" w:hAnsi="仿宋" w:eastAsia="仿宋" w:cs="仿宋"/>
                <w:sz w:val="24"/>
              </w:rPr>
            </w:pPr>
            <w:r>
              <w:rPr>
                <w:rFonts w:hint="eastAsia" w:ascii="仿宋" w:hAnsi="仿宋" w:eastAsia="仿宋" w:cs="仿宋"/>
                <w:sz w:val="24"/>
              </w:rPr>
              <w:t>★</w:t>
            </w:r>
          </w:p>
        </w:tc>
        <w:tc>
          <w:tcPr>
            <w:tcW w:w="976" w:type="dxa"/>
            <w:vAlign w:val="center"/>
          </w:tcPr>
          <w:p w14:paraId="3DFEF562">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54A8C9E1">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17.3</w:t>
            </w:r>
            <w:r>
              <w:rPr>
                <w:rFonts w:hint="eastAsia" w:ascii="仿宋" w:hAnsi="仿宋" w:eastAsia="仿宋" w:cs="仿宋"/>
                <w:sz w:val="24"/>
                <w:szCs w:val="24"/>
                <w:lang w:eastAsia="zh-CN"/>
              </w:rPr>
              <w:t>投标人须在投标文件中完整列明所投设备开展治疗项目所必需的全部耗材，包含不同的型号、规格，以满足医院多样化的使用需求。投标人须提供配套耗材的详细报价清单，包括但不限于：所有必需的耗材名称、生产企业、规格、型号、注册证号、单价（元/片）、（新招采子系统）产品 ID 、标明是否专机专用。投标人填报的“单价”为最终供货结算单价，不得因采购数量、包装规格或运输条件的变化而调整。如存在专机专用的原厂原装耗材，投标人必须承诺提供与设备品牌一致的原厂原装产品；若所投设备配套耗材可兼容其他品牌产品的，则须承诺所提供耗材与所投设备相兼容，且所提供配套耗材须为“新招采子系统”目录内收录的产品（不作医疗器械管理的产品除外）。</w:t>
            </w:r>
          </w:p>
          <w:p w14:paraId="291F8B3C">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投标人除须提供配套耗材的详细报价清单外，还需针对以上各项承诺，提供加盖公章的承诺函，承诺函格式可由投标人自行拟定。</w:t>
            </w:r>
          </w:p>
        </w:tc>
      </w:tr>
      <w:tr w14:paraId="4E094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3D65B391">
            <w:pPr>
              <w:widowControl/>
              <w:spacing w:line="400" w:lineRule="exact"/>
              <w:jc w:val="left"/>
              <w:rPr>
                <w:rFonts w:ascii="仿宋" w:hAnsi="仿宋" w:eastAsia="仿宋" w:cs="仿宋"/>
                <w:sz w:val="24"/>
              </w:rPr>
            </w:pPr>
            <w:r>
              <w:rPr>
                <w:rFonts w:hint="eastAsia" w:ascii="仿宋" w:hAnsi="仿宋" w:eastAsia="仿宋" w:cs="仿宋"/>
                <w:sz w:val="24"/>
              </w:rPr>
              <w:t>★</w:t>
            </w:r>
          </w:p>
        </w:tc>
        <w:tc>
          <w:tcPr>
            <w:tcW w:w="976" w:type="dxa"/>
            <w:vAlign w:val="center"/>
          </w:tcPr>
          <w:p w14:paraId="37CF6D74">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62ED58C0">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lang w:val="en-US" w:eastAsia="zh-CN"/>
              </w:rPr>
              <w:t>7.4</w:t>
            </w:r>
            <w:r>
              <w:rPr>
                <w:rFonts w:hint="eastAsia" w:ascii="仿宋" w:hAnsi="仿宋" w:eastAsia="仿宋" w:cs="仿宋"/>
                <w:sz w:val="24"/>
                <w:szCs w:val="24"/>
                <w:lang w:eastAsia="zh-CN"/>
              </w:rPr>
              <w:t>对于所有治疗项目所需的配套耗材均须单独逐项报价。报价表中应完整列明各项目全流程所需的全部耗材，（包括辅助耗材）。每个治疗项目所需的核心耗材必须进行单独报价，不得以免费形式提供。所申报的单价均不得超过下文所列价格。</w:t>
            </w:r>
          </w:p>
          <w:p w14:paraId="49C03325">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17.4</w:t>
            </w:r>
            <w:r>
              <w:rPr>
                <w:rFonts w:hint="eastAsia" w:ascii="仿宋" w:hAnsi="仿宋" w:eastAsia="仿宋" w:cs="仿宋"/>
                <w:sz w:val="24"/>
                <w:szCs w:val="24"/>
                <w:lang w:eastAsia="zh-CN"/>
              </w:rPr>
              <w:t>.1投标人需承诺所有单价不高于全国各省、市交易平台公布或交易的价格；</w:t>
            </w:r>
          </w:p>
          <w:p w14:paraId="2302DCE5">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17.4</w:t>
            </w:r>
            <w:r>
              <w:rPr>
                <w:rFonts w:hint="eastAsia" w:ascii="仿宋" w:hAnsi="仿宋" w:eastAsia="仿宋" w:cs="仿宋"/>
                <w:sz w:val="24"/>
                <w:szCs w:val="24"/>
                <w:lang w:eastAsia="zh-CN"/>
              </w:rPr>
              <w:t>.2承诺在设备使用期内，若采购人需要采购专机专用配套耗材，采购人可以通过“新招采子系统”或政府主管部门规定的其他平台进行采购，投标人承诺“新招采子系统”或政府主管部门规定的其他平台的报价不高于此次承诺单价，并自愿承担不能签订专机专用耗材供应合同的风险。</w:t>
            </w:r>
          </w:p>
          <w:p w14:paraId="5BCC4101">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17.4</w:t>
            </w:r>
            <w:r>
              <w:rPr>
                <w:rFonts w:hint="eastAsia" w:ascii="仿宋" w:hAnsi="仿宋" w:eastAsia="仿宋" w:cs="仿宋"/>
                <w:sz w:val="24"/>
                <w:szCs w:val="24"/>
                <w:lang w:eastAsia="zh-CN"/>
              </w:rPr>
              <w:t>.3承诺在设备使用期内，配套耗材价格如遇政策导致下调或梅州地区其他医院采购价低于采购人执行的价格时，投标人须主动告知采购人并按最低价同步下调价格，且下调后的价格均可在“新招采子系统”或政府主管部门规定的其他平台进行交易（不作医疗器械管理的除外）。</w:t>
            </w:r>
          </w:p>
          <w:p w14:paraId="7C14AF7C">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17.4</w:t>
            </w:r>
            <w:r>
              <w:rPr>
                <w:rFonts w:hint="eastAsia" w:ascii="仿宋" w:hAnsi="仿宋" w:eastAsia="仿宋" w:cs="仿宋"/>
                <w:sz w:val="24"/>
                <w:szCs w:val="24"/>
                <w:lang w:eastAsia="zh-CN"/>
              </w:rPr>
              <w:t>.4在设备使用期内，如生产厂家对配套专机专用耗材进行升级或更换规格型号，升级或更换后的产品供应价格应不高于此次投标承诺价格或产品升级前所供应价格，调整后的价格必须能通过“新招采子系统”或政府主管部门规定的其他交易平台进行交易（不作医疗器械管理的除外）。</w:t>
            </w:r>
          </w:p>
          <w:p w14:paraId="4C544C9F">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17.4</w:t>
            </w:r>
            <w:r>
              <w:rPr>
                <w:rFonts w:hint="eastAsia" w:ascii="仿宋" w:hAnsi="仿宋" w:eastAsia="仿宋" w:cs="仿宋"/>
                <w:sz w:val="24"/>
                <w:szCs w:val="24"/>
                <w:lang w:eastAsia="zh-CN"/>
              </w:rPr>
              <w:t>.5不得限制医院对耗材规格、型号的选择，也不得规定每月、每季度、每年的采购数量。</w:t>
            </w:r>
          </w:p>
          <w:p w14:paraId="2680A355">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17.4</w:t>
            </w:r>
            <w:r>
              <w:rPr>
                <w:rFonts w:hint="eastAsia" w:ascii="仿宋" w:hAnsi="仿宋" w:eastAsia="仿宋" w:cs="仿宋"/>
                <w:sz w:val="24"/>
                <w:szCs w:val="24"/>
                <w:lang w:eastAsia="zh-CN"/>
              </w:rPr>
              <w:t>.6若投标人在投标过程中未能完整申报所投设备开展检查、治疗项目所需的全部耗材（包括包装规格及型号等），导致无法满足医院多元化的使用需求，则后续增加的产品其供应价格不得高于本次投标同类产品的承诺价格，亦不得高于增加前同类产品的供应价格。新增产品及价格须能够通过“新招采子系统”或政府主管部门认可的其他交易平台进行交易（依法不作医疗器械管理的产品除外），且不得因此增加医院的耗材采购成本。</w:t>
            </w:r>
          </w:p>
          <w:p w14:paraId="152E5725">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投标人在投标时，应提供承诺函并加盖公章，承诺函格式可由投标人自行拟定。</w:t>
            </w:r>
          </w:p>
        </w:tc>
      </w:tr>
      <w:tr w14:paraId="70EECB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685C2CF1">
            <w:pPr>
              <w:widowControl/>
              <w:spacing w:line="400" w:lineRule="exact"/>
              <w:jc w:val="left"/>
              <w:rPr>
                <w:rFonts w:ascii="仿宋" w:hAnsi="仿宋" w:eastAsia="仿宋" w:cs="仿宋"/>
                <w:sz w:val="24"/>
              </w:rPr>
            </w:pPr>
            <w:r>
              <w:rPr>
                <w:rFonts w:hint="eastAsia" w:ascii="仿宋" w:hAnsi="仿宋" w:eastAsia="仿宋" w:cs="仿宋"/>
                <w:sz w:val="24"/>
              </w:rPr>
              <w:t>★</w:t>
            </w:r>
          </w:p>
        </w:tc>
        <w:tc>
          <w:tcPr>
            <w:tcW w:w="976" w:type="dxa"/>
            <w:vAlign w:val="center"/>
          </w:tcPr>
          <w:p w14:paraId="00B2FD45">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7C23997E">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val="en-US" w:eastAsia="zh-CN"/>
              </w:rPr>
              <w:t>17.5</w:t>
            </w:r>
            <w:r>
              <w:rPr>
                <w:rFonts w:hint="eastAsia" w:ascii="仿宋" w:hAnsi="仿宋" w:eastAsia="仿宋" w:cs="仿宋"/>
                <w:sz w:val="24"/>
                <w:szCs w:val="24"/>
                <w:lang w:eastAsia="zh-CN"/>
              </w:rPr>
              <w:t>耗材供应保障。在设备使用期间，如出现耗材供应中断，供应方须提前一个月予以告知，并提出替代方案。替代方案不得增加医院相关成本。若中断供应超过九十天，医院有权自其他渠道进行采购，由此产生的差价由中标方承担。</w:t>
            </w:r>
          </w:p>
          <w:p w14:paraId="703BD8D3">
            <w:pPr>
              <w:pStyle w:val="30"/>
              <w:numPr>
                <w:ilvl w:val="-1"/>
                <w:numId w:val="0"/>
              </w:numPr>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投标人在投标时，应提供承诺函并加盖公章，承诺函格式可由投标人自行拟定。</w:t>
            </w:r>
          </w:p>
        </w:tc>
      </w:tr>
      <w:tr w14:paraId="7B6FD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vAlign w:val="center"/>
          </w:tcPr>
          <w:p w14:paraId="7C576ED3">
            <w:pPr>
              <w:widowControl/>
              <w:spacing w:line="400" w:lineRule="exact"/>
              <w:jc w:val="left"/>
              <w:rPr>
                <w:rFonts w:ascii="仿宋" w:hAnsi="仿宋" w:eastAsia="仿宋" w:cs="仿宋"/>
                <w:sz w:val="24"/>
                <w:highlight w:val="none"/>
              </w:rPr>
            </w:pPr>
            <w:r>
              <w:rPr>
                <w:rFonts w:hint="eastAsia" w:ascii="仿宋_GB2312" w:hAnsi="仿宋_GB2312" w:eastAsia="仿宋_GB2312" w:cs="仿宋_GB2312"/>
                <w:color w:val="000000"/>
                <w:sz w:val="28"/>
                <w:szCs w:val="28"/>
                <w:highlight w:val="none"/>
              </w:rPr>
              <w:t>▲</w:t>
            </w:r>
          </w:p>
        </w:tc>
        <w:tc>
          <w:tcPr>
            <w:tcW w:w="976" w:type="dxa"/>
            <w:vAlign w:val="center"/>
          </w:tcPr>
          <w:p w14:paraId="3110F3A6">
            <w:pPr>
              <w:pStyle w:val="30"/>
              <w:numPr>
                <w:ilvl w:val="0"/>
                <w:numId w:val="1"/>
              </w:numPr>
              <w:spacing w:line="400" w:lineRule="exact"/>
              <w:jc w:val="center"/>
              <w:rPr>
                <w:rFonts w:ascii="仿宋" w:hAnsi="仿宋" w:eastAsia="仿宋" w:cs="仿宋"/>
                <w:sz w:val="24"/>
                <w:szCs w:val="24"/>
                <w:highlight w:val="none"/>
              </w:rPr>
            </w:pPr>
          </w:p>
        </w:tc>
        <w:tc>
          <w:tcPr>
            <w:tcW w:w="6317" w:type="dxa"/>
            <w:vAlign w:val="center"/>
          </w:tcPr>
          <w:p w14:paraId="2D426178">
            <w:pPr>
              <w:pStyle w:val="30"/>
              <w:numPr>
                <w:ilvl w:val="-1"/>
                <w:numId w:val="0"/>
              </w:numPr>
              <w:spacing w:line="400" w:lineRule="exac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w:t>
            </w:r>
            <w:r>
              <w:rPr>
                <w:rFonts w:hint="eastAsia" w:ascii="仿宋" w:hAnsi="仿宋" w:eastAsia="仿宋" w:cs="仿宋"/>
                <w:sz w:val="24"/>
                <w:szCs w:val="24"/>
                <w:highlight w:val="none"/>
                <w:lang w:val="en-US" w:eastAsia="zh-CN"/>
              </w:rPr>
              <w:t>7.6</w:t>
            </w:r>
            <w:r>
              <w:rPr>
                <w:rFonts w:hint="eastAsia" w:ascii="仿宋" w:hAnsi="仿宋" w:eastAsia="仿宋" w:cs="仿宋"/>
                <w:sz w:val="24"/>
                <w:szCs w:val="24"/>
                <w:highlight w:val="none"/>
                <w:lang w:eastAsia="zh-CN"/>
              </w:rPr>
              <w:t>序号</w:t>
            </w:r>
            <w:r>
              <w:rPr>
                <w:rFonts w:hint="eastAsia" w:ascii="仿宋" w:hAnsi="仿宋" w:eastAsia="仿宋" w:cs="仿宋"/>
                <w:sz w:val="24"/>
                <w:szCs w:val="24"/>
                <w:highlight w:val="none"/>
                <w:lang w:val="en-US" w:eastAsia="zh-CN"/>
              </w:rPr>
              <w:t>23</w:t>
            </w:r>
            <w:r>
              <w:rPr>
                <w:rFonts w:hint="eastAsia" w:ascii="仿宋" w:hAnsi="仿宋" w:eastAsia="仿宋" w:cs="仿宋"/>
                <w:sz w:val="24"/>
                <w:szCs w:val="24"/>
                <w:highlight w:val="none"/>
                <w:lang w:eastAsia="zh-CN"/>
              </w:rPr>
              <w:t>至</w:t>
            </w:r>
            <w:r>
              <w:rPr>
                <w:rFonts w:hint="eastAsia" w:ascii="仿宋" w:hAnsi="仿宋" w:eastAsia="仿宋" w:cs="仿宋"/>
                <w:sz w:val="24"/>
                <w:szCs w:val="24"/>
                <w:highlight w:val="none"/>
                <w:lang w:val="en-US" w:eastAsia="zh-CN"/>
              </w:rPr>
              <w:t>26</w:t>
            </w:r>
            <w:r>
              <w:rPr>
                <w:rFonts w:hint="eastAsia" w:ascii="仿宋" w:hAnsi="仿宋" w:eastAsia="仿宋" w:cs="仿宋"/>
                <w:sz w:val="24"/>
                <w:szCs w:val="24"/>
                <w:highlight w:val="none"/>
                <w:lang w:eastAsia="zh-CN"/>
              </w:rPr>
              <w:t>的需求除投标人作出承诺外，还须提供试剂、耗材生产厂家出具的承诺函，并加盖生产厂家公章，承诺函格式可自行拟定。</w:t>
            </w:r>
          </w:p>
        </w:tc>
      </w:tr>
      <w:tr w14:paraId="27D5B3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40" w:hRule="atLeast"/>
        </w:trPr>
        <w:tc>
          <w:tcPr>
            <w:tcW w:w="1845" w:type="dxa"/>
            <w:vAlign w:val="center"/>
          </w:tcPr>
          <w:p w14:paraId="4A5F51D8">
            <w:pPr>
              <w:widowControl/>
              <w:spacing w:line="400" w:lineRule="exact"/>
              <w:jc w:val="left"/>
              <w:rPr>
                <w:rFonts w:hint="eastAsia" w:ascii="仿宋" w:hAnsi="仿宋" w:eastAsia="仿宋" w:cs="仿宋"/>
                <w:sz w:val="24"/>
              </w:rPr>
            </w:pPr>
            <w:r>
              <w:rPr>
                <w:rFonts w:ascii="仿宋" w:hAnsi="仿宋" w:eastAsia="仿宋" w:cs="仿宋"/>
                <w:sz w:val="24"/>
              </w:rPr>
              <w:t>★</w:t>
            </w:r>
          </w:p>
        </w:tc>
        <w:tc>
          <w:tcPr>
            <w:tcW w:w="976" w:type="dxa"/>
            <w:vAlign w:val="center"/>
          </w:tcPr>
          <w:p w14:paraId="45D3AE00">
            <w:pPr>
              <w:pStyle w:val="30"/>
              <w:numPr>
                <w:ilvl w:val="0"/>
                <w:numId w:val="1"/>
              </w:numPr>
              <w:spacing w:line="400" w:lineRule="exact"/>
              <w:jc w:val="center"/>
              <w:rPr>
                <w:rFonts w:ascii="仿宋" w:hAnsi="仿宋" w:eastAsia="仿宋" w:cs="仿宋"/>
                <w:sz w:val="24"/>
                <w:szCs w:val="24"/>
              </w:rPr>
            </w:pPr>
          </w:p>
        </w:tc>
        <w:tc>
          <w:tcPr>
            <w:tcW w:w="6317" w:type="dxa"/>
            <w:vAlign w:val="center"/>
          </w:tcPr>
          <w:p w14:paraId="64C70A5E">
            <w:pPr>
              <w:pStyle w:val="30"/>
              <w:spacing w:line="400" w:lineRule="exact"/>
              <w:rPr>
                <w:rFonts w:ascii="仿宋" w:hAnsi="仿宋" w:eastAsia="仿宋" w:cs="仿宋"/>
                <w:sz w:val="24"/>
                <w:szCs w:val="24"/>
                <w:lang w:eastAsia="zh-CN"/>
              </w:rPr>
            </w:pPr>
            <w:r>
              <w:rPr>
                <w:rFonts w:hint="eastAsia" w:ascii="仿宋" w:hAnsi="仿宋" w:eastAsia="仿宋" w:cs="仿宋"/>
                <w:sz w:val="24"/>
                <w:szCs w:val="24"/>
                <w:lang w:val="en-US" w:eastAsia="zh-CN"/>
              </w:rPr>
              <w:t>18</w:t>
            </w:r>
            <w:r>
              <w:rPr>
                <w:rFonts w:ascii="仿宋" w:hAnsi="仿宋" w:eastAsia="仿宋" w:cs="仿宋"/>
                <w:sz w:val="24"/>
                <w:szCs w:val="24"/>
                <w:lang w:eastAsia="zh-CN"/>
              </w:rPr>
              <w:t>.主要配置清单：</w:t>
            </w:r>
          </w:p>
          <w:tbl>
            <w:tblPr>
              <w:tblStyle w:val="11"/>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3288"/>
              <w:gridCol w:w="792"/>
              <w:gridCol w:w="792"/>
            </w:tblGrid>
            <w:tr w14:paraId="0F434E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755"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vAlign w:val="center"/>
                </w:tcPr>
                <w:p w14:paraId="42E5A638">
                  <w:pPr>
                    <w:pStyle w:val="30"/>
                    <w:adjustRightInd w:val="0"/>
                    <w:snapToGrid w:val="0"/>
                    <w:spacing w:after="0" w:line="240" w:lineRule="auto"/>
                    <w:jc w:val="center"/>
                    <w:rPr>
                      <w:rFonts w:hint="default"/>
                    </w:rPr>
                  </w:pPr>
                  <w:r>
                    <w:rPr>
                      <w:b/>
                      <w:sz w:val="21"/>
                    </w:rPr>
                    <w:t>序号</w:t>
                  </w:r>
                </w:p>
              </w:tc>
              <w:tc>
                <w:tcPr>
                  <w:tcW w:w="3288"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7F2685A9">
                  <w:pPr>
                    <w:pStyle w:val="30"/>
                    <w:adjustRightInd w:val="0"/>
                    <w:snapToGrid w:val="0"/>
                    <w:spacing w:after="0" w:line="240" w:lineRule="auto"/>
                    <w:jc w:val="center"/>
                    <w:rPr>
                      <w:rFonts w:hint="default"/>
                      <w:lang w:eastAsia="zh-CN"/>
                    </w:rPr>
                  </w:pPr>
                  <w:r>
                    <w:rPr>
                      <w:b/>
                      <w:sz w:val="21"/>
                      <w:lang w:eastAsia="zh-CN"/>
                    </w:rPr>
                    <w:t>配置名称</w:t>
                  </w:r>
                </w:p>
              </w:tc>
              <w:tc>
                <w:tcPr>
                  <w:tcW w:w="79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03E2A400">
                  <w:pPr>
                    <w:pStyle w:val="30"/>
                    <w:adjustRightInd w:val="0"/>
                    <w:snapToGrid w:val="0"/>
                    <w:spacing w:after="0" w:line="240" w:lineRule="auto"/>
                    <w:jc w:val="center"/>
                    <w:rPr>
                      <w:rFonts w:hint="default"/>
                      <w:b/>
                      <w:sz w:val="21"/>
                      <w:lang w:eastAsia="zh-CN"/>
                    </w:rPr>
                  </w:pPr>
                  <w:r>
                    <w:rPr>
                      <w:b/>
                      <w:sz w:val="21"/>
                      <w:lang w:eastAsia="zh-CN"/>
                    </w:rPr>
                    <w:t>单位</w:t>
                  </w:r>
                </w:p>
              </w:tc>
              <w:tc>
                <w:tcPr>
                  <w:tcW w:w="79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28BA545D">
                  <w:pPr>
                    <w:pStyle w:val="30"/>
                    <w:adjustRightInd w:val="0"/>
                    <w:snapToGrid w:val="0"/>
                    <w:spacing w:after="0" w:line="240" w:lineRule="auto"/>
                    <w:jc w:val="center"/>
                    <w:rPr>
                      <w:rFonts w:hint="default"/>
                      <w:b/>
                      <w:sz w:val="21"/>
                      <w:lang w:eastAsia="zh-CN"/>
                    </w:rPr>
                  </w:pPr>
                  <w:r>
                    <w:rPr>
                      <w:b/>
                      <w:sz w:val="21"/>
                      <w:lang w:eastAsia="zh-CN"/>
                    </w:rPr>
                    <w:t>数量</w:t>
                  </w:r>
                </w:p>
              </w:tc>
            </w:tr>
            <w:tr w14:paraId="0C6A54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5"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430E2DC">
                  <w:pPr>
                    <w:pStyle w:val="30"/>
                    <w:spacing w:line="400" w:lineRule="exact"/>
                    <w:rPr>
                      <w:rFonts w:hint="default" w:ascii="仿宋" w:hAnsi="仿宋" w:eastAsia="仿宋" w:cs="仿宋"/>
                      <w:sz w:val="24"/>
                      <w:szCs w:val="24"/>
                      <w:lang w:eastAsia="zh-CN"/>
                    </w:rPr>
                  </w:pPr>
                  <w:r>
                    <w:rPr>
                      <w:rFonts w:hint="eastAsia" w:ascii="仿宋" w:hAnsi="仿宋" w:eastAsia="仿宋" w:cs="仿宋"/>
                      <w:sz w:val="24"/>
                      <w:szCs w:val="24"/>
                      <w:lang w:eastAsia="zh-CN"/>
                    </w:rPr>
                    <w:t>1</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27BD3DD">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控制器或主机电源</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37B72C4">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台</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1EEACDD">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r>
            <w:tr w14:paraId="179454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5"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641577B">
                  <w:pPr>
                    <w:pStyle w:val="30"/>
                    <w:spacing w:line="400" w:lineRule="exact"/>
                    <w:rPr>
                      <w:rFonts w:hint="default" w:ascii="仿宋" w:hAnsi="仿宋" w:eastAsia="仿宋" w:cs="仿宋"/>
                      <w:sz w:val="24"/>
                      <w:szCs w:val="24"/>
                      <w:lang w:eastAsia="zh-CN"/>
                    </w:rPr>
                  </w:pPr>
                  <w:r>
                    <w:rPr>
                      <w:rFonts w:hint="eastAsia" w:ascii="仿宋" w:hAnsi="仿宋" w:eastAsia="仿宋" w:cs="仿宋"/>
                      <w:sz w:val="24"/>
                      <w:szCs w:val="24"/>
                      <w:lang w:eastAsia="zh-CN"/>
                    </w:rPr>
                    <w:t>2</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3C609CF">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手持件</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F733B45">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2B57D4A">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r>
            <w:tr w14:paraId="25915E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5"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082488C">
                  <w:pPr>
                    <w:pStyle w:val="30"/>
                    <w:spacing w:line="400" w:lineRule="exact"/>
                    <w:rPr>
                      <w:rFonts w:hint="default" w:ascii="仿宋" w:hAnsi="仿宋" w:eastAsia="仿宋" w:cs="仿宋"/>
                      <w:sz w:val="24"/>
                      <w:szCs w:val="24"/>
                      <w:lang w:eastAsia="zh-CN"/>
                    </w:rPr>
                  </w:pPr>
                  <w:r>
                    <w:rPr>
                      <w:rFonts w:hint="eastAsia" w:ascii="仿宋" w:hAnsi="仿宋" w:eastAsia="仿宋" w:cs="仿宋"/>
                      <w:sz w:val="24"/>
                      <w:szCs w:val="24"/>
                      <w:lang w:eastAsia="zh-CN"/>
                    </w:rPr>
                    <w:t>3</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125DD75">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医用取皮刀（取皮刀片）</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4AD86A0">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片</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012A003">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10</w:t>
                  </w:r>
                </w:p>
              </w:tc>
            </w:tr>
            <w:tr w14:paraId="2D5C7D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5"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D155ED6">
                  <w:pPr>
                    <w:pStyle w:val="30"/>
                    <w:spacing w:line="400" w:lineRule="exact"/>
                    <w:rPr>
                      <w:rFonts w:hint="default" w:ascii="仿宋" w:hAnsi="仿宋" w:eastAsia="仿宋" w:cs="仿宋"/>
                      <w:sz w:val="24"/>
                      <w:szCs w:val="24"/>
                      <w:lang w:eastAsia="zh-CN"/>
                    </w:rPr>
                  </w:pPr>
                  <w:r>
                    <w:rPr>
                      <w:rFonts w:hint="eastAsia" w:ascii="仿宋" w:hAnsi="仿宋" w:eastAsia="仿宋" w:cs="仿宋"/>
                      <w:sz w:val="24"/>
                      <w:szCs w:val="24"/>
                      <w:lang w:val="en-US" w:eastAsia="zh-CN"/>
                    </w:rPr>
                    <w:t>4</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7E3FA82">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消毒盒</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00DFAA2">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354F58A">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r>
            <w:tr w14:paraId="35D5F5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5"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CA06000">
                  <w:pPr>
                    <w:pStyle w:val="30"/>
                    <w:spacing w:line="400" w:lineRule="exact"/>
                    <w:rPr>
                      <w:rFonts w:hint="default" w:ascii="仿宋" w:hAnsi="仿宋" w:eastAsia="仿宋" w:cs="仿宋"/>
                      <w:sz w:val="24"/>
                      <w:szCs w:val="24"/>
                      <w:lang w:eastAsia="zh-CN"/>
                    </w:rPr>
                  </w:pPr>
                  <w:r>
                    <w:rPr>
                      <w:rFonts w:hint="eastAsia" w:ascii="仿宋" w:hAnsi="仿宋" w:eastAsia="仿宋" w:cs="仿宋"/>
                      <w:sz w:val="24"/>
                      <w:szCs w:val="24"/>
                      <w:lang w:val="en-US" w:eastAsia="zh-CN"/>
                    </w:rPr>
                    <w:t>5</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F8FDA0E">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电源线</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AD473E">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根</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E92EE8B">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r>
            <w:tr w14:paraId="165E00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5"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C469918">
                  <w:pPr>
                    <w:pStyle w:val="30"/>
                    <w:spacing w:line="400" w:lineRule="exact"/>
                    <w:rPr>
                      <w:rFonts w:hint="default" w:ascii="仿宋" w:hAnsi="仿宋" w:eastAsia="仿宋" w:cs="仿宋"/>
                      <w:sz w:val="24"/>
                      <w:szCs w:val="24"/>
                      <w:lang w:eastAsia="zh-CN"/>
                    </w:rPr>
                  </w:pPr>
                  <w:r>
                    <w:rPr>
                      <w:rFonts w:hint="eastAsia" w:ascii="仿宋" w:hAnsi="仿宋" w:eastAsia="仿宋" w:cs="仿宋"/>
                      <w:sz w:val="24"/>
                      <w:szCs w:val="24"/>
                      <w:lang w:eastAsia="zh-CN"/>
                    </w:rPr>
                    <w:t>6</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B6C1E2F">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连接线</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DCEE3A4">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根</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4FFDA13">
                  <w:pPr>
                    <w:pStyle w:val="30"/>
                    <w:spacing w:line="40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r>
          </w:tbl>
          <w:p w14:paraId="4C77B7DF">
            <w:pPr>
              <w:pStyle w:val="30"/>
              <w:spacing w:line="400" w:lineRule="exact"/>
              <w:rPr>
                <w:rFonts w:ascii="仿宋" w:hAnsi="仿宋" w:eastAsia="仿宋" w:cs="仿宋"/>
                <w:sz w:val="24"/>
                <w:szCs w:val="24"/>
                <w:lang w:eastAsia="zh-CN"/>
              </w:rPr>
            </w:pPr>
            <w:r>
              <w:rPr>
                <w:rFonts w:hint="eastAsia" w:ascii="仿宋" w:hAnsi="仿宋" w:eastAsia="仿宋" w:cs="仿宋"/>
                <w:sz w:val="24"/>
                <w:szCs w:val="24"/>
                <w:lang w:eastAsia="zh-CN"/>
              </w:rPr>
              <w:t>以上配置不排除遗漏的可能性，供应商应自行添加必要的配置以保证设备能正常运转。否则，影响验收后果自负。</w:t>
            </w:r>
          </w:p>
        </w:tc>
      </w:tr>
      <w:tr w14:paraId="53BA99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845" w:type="dxa"/>
          </w:tcPr>
          <w:p w14:paraId="4C539535">
            <w:pPr>
              <w:pStyle w:val="30"/>
              <w:spacing w:line="400" w:lineRule="exact"/>
              <w:jc w:val="left"/>
              <w:rPr>
                <w:rFonts w:ascii="仿宋" w:hAnsi="仿宋" w:eastAsia="仿宋" w:cs="仿宋"/>
                <w:sz w:val="24"/>
                <w:szCs w:val="24"/>
              </w:rPr>
            </w:pPr>
            <w:r>
              <w:rPr>
                <w:rFonts w:hint="eastAsia" w:ascii="仿宋" w:hAnsi="仿宋" w:eastAsia="仿宋" w:cs="仿宋"/>
                <w:sz w:val="24"/>
                <w:szCs w:val="24"/>
                <w:lang w:val="en-US" w:eastAsia="zh-CN"/>
              </w:rPr>
              <w:t xml:space="preserve">     </w:t>
            </w:r>
            <w:r>
              <w:rPr>
                <w:rFonts w:ascii="仿宋" w:hAnsi="仿宋" w:eastAsia="仿宋" w:cs="仿宋"/>
                <w:sz w:val="24"/>
                <w:szCs w:val="24"/>
              </w:rPr>
              <w:t>说明</w:t>
            </w:r>
          </w:p>
        </w:tc>
        <w:tc>
          <w:tcPr>
            <w:tcW w:w="7293" w:type="dxa"/>
            <w:gridSpan w:val="2"/>
          </w:tcPr>
          <w:p w14:paraId="3D8FE114">
            <w:pPr>
              <w:pStyle w:val="30"/>
              <w:spacing w:line="400" w:lineRule="exact"/>
              <w:rPr>
                <w:rFonts w:ascii="仿宋" w:hAnsi="仿宋" w:eastAsia="仿宋" w:cs="仿宋"/>
                <w:sz w:val="24"/>
                <w:szCs w:val="24"/>
              </w:rPr>
            </w:pPr>
            <w:r>
              <w:rPr>
                <w:rFonts w:ascii="仿宋" w:hAnsi="仿宋" w:eastAsia="仿宋" w:cs="仿宋"/>
                <w:sz w:val="24"/>
                <w:szCs w:val="24"/>
              </w:rPr>
              <w:t>打“</w:t>
            </w:r>
            <w:bookmarkStart w:id="0" w:name="OLE_LINK5"/>
            <w:r>
              <w:rPr>
                <w:rFonts w:ascii="仿宋" w:hAnsi="仿宋" w:eastAsia="仿宋" w:cs="仿宋"/>
                <w:sz w:val="24"/>
                <w:szCs w:val="24"/>
              </w:rPr>
              <w:t>★</w:t>
            </w:r>
            <w:bookmarkEnd w:id="0"/>
            <w:r>
              <w:rPr>
                <w:rFonts w:ascii="仿宋" w:hAnsi="仿宋" w:eastAsia="仿宋" w:cs="仿宋"/>
                <w:sz w:val="24"/>
                <w:szCs w:val="24"/>
              </w:rPr>
              <w:t xml:space="preserve">”号条款为实质性条款，若有任何一条负偏离或不满足则导致投标无效。 </w:t>
            </w:r>
            <w:r>
              <w:rPr>
                <w:rFonts w:ascii="仿宋" w:hAnsi="仿宋" w:eastAsia="仿宋" w:cs="仿宋"/>
                <w:sz w:val="24"/>
                <w:szCs w:val="24"/>
              </w:rPr>
              <w:br w:type="textWrapping"/>
            </w:r>
            <w:r>
              <w:rPr>
                <w:rFonts w:ascii="仿宋" w:hAnsi="仿宋" w:eastAsia="仿宋" w:cs="仿宋"/>
                <w:sz w:val="24"/>
                <w:szCs w:val="24"/>
              </w:rPr>
              <w:t>打“▲”号条款为重要技术参数，若有部分“▲”条款未响应或不满足，将导致其响应性评审加重扣分，但不作为无效投标条款。</w:t>
            </w:r>
          </w:p>
        </w:tc>
      </w:tr>
    </w:tbl>
    <w:p w14:paraId="2A8249C0">
      <w:pPr>
        <w:pStyle w:val="15"/>
        <w:ind w:left="0" w:leftChars="0" w:firstLine="0" w:firstLineChars="0"/>
        <w:rPr>
          <w:rFonts w:hint="eastAsia" w:ascii="方正小标宋简体" w:eastAsia="方正小标宋简体"/>
          <w:sz w:val="44"/>
          <w:szCs w:val="44"/>
        </w:rPr>
      </w:pPr>
    </w:p>
    <w:p w14:paraId="413094B1">
      <w:pPr>
        <w:pStyle w:val="15"/>
        <w:ind w:left="0" w:leftChars="0" w:firstLine="0" w:firstLineChars="0"/>
        <w:rPr>
          <w:rFonts w:hint="eastAsia" w:ascii="方正小标宋简体" w:eastAsia="方正小标宋简体"/>
          <w:sz w:val="44"/>
          <w:szCs w:val="44"/>
        </w:rPr>
      </w:pPr>
    </w:p>
    <w:p w14:paraId="15312134">
      <w:pPr>
        <w:pStyle w:val="15"/>
        <w:ind w:left="0" w:leftChars="0" w:firstLine="0" w:firstLineChars="0"/>
        <w:rPr>
          <w:rFonts w:hint="eastAsia" w:ascii="方正小标宋简体" w:eastAsia="方正小标宋简体"/>
          <w:sz w:val="44"/>
          <w:szCs w:val="44"/>
        </w:rPr>
      </w:pPr>
    </w:p>
    <w:p w14:paraId="0930D591">
      <w:pPr>
        <w:pStyle w:val="15"/>
        <w:ind w:left="0" w:leftChars="0" w:firstLine="0" w:firstLineChars="0"/>
        <w:rPr>
          <w:rFonts w:hint="eastAsia" w:ascii="方正小标宋简体" w:eastAsia="方正小标宋简体"/>
          <w:sz w:val="44"/>
          <w:szCs w:val="44"/>
        </w:rPr>
      </w:pPr>
    </w:p>
    <w:p w14:paraId="6DF9D9AA">
      <w:pPr>
        <w:pStyle w:val="15"/>
        <w:ind w:left="0" w:leftChars="0" w:firstLine="0" w:firstLineChars="0"/>
        <w:rPr>
          <w:rFonts w:hint="eastAsia" w:ascii="方正小标宋简体" w:eastAsia="方正小标宋简体"/>
          <w:sz w:val="44"/>
          <w:szCs w:val="44"/>
        </w:rPr>
      </w:pPr>
    </w:p>
    <w:p w14:paraId="3996D5BB">
      <w:pPr>
        <w:pStyle w:val="15"/>
        <w:ind w:left="0" w:leftChars="0" w:firstLine="0" w:firstLineChars="0"/>
        <w:rPr>
          <w:rFonts w:hint="eastAsia" w:ascii="方正小标宋简体" w:eastAsia="方正小标宋简体"/>
          <w:sz w:val="44"/>
          <w:szCs w:val="44"/>
        </w:rPr>
      </w:pPr>
    </w:p>
    <w:p w14:paraId="54D36053">
      <w:pPr>
        <w:rPr>
          <w:rFonts w:hint="eastAsia" w:asciiTheme="minorEastAsia" w:hAnsiTheme="minorEastAsia" w:eastAsiaTheme="minorEastAsia" w:cstheme="minorEastAsia"/>
          <w:b/>
          <w:bCs/>
          <w:lang w:eastAsia="zh-CN"/>
        </w:rPr>
      </w:pPr>
    </w:p>
    <w:p w14:paraId="03CFA66C">
      <w:pPr>
        <w:rPr>
          <w:rFonts w:hint="eastAsia" w:asciiTheme="minorEastAsia" w:hAnsiTheme="minorEastAsia" w:eastAsiaTheme="minorEastAsia" w:cstheme="minorEastAsia"/>
          <w:b/>
          <w:bCs/>
          <w:lang w:eastAsia="zh-CN"/>
        </w:rPr>
      </w:pPr>
    </w:p>
    <w:p w14:paraId="128A9598">
      <w:pPr>
        <w:rPr>
          <w:rFonts w:hint="eastAsia" w:asciiTheme="minorEastAsia" w:hAnsiTheme="minorEastAsia" w:eastAsiaTheme="minorEastAsia" w:cstheme="minorEastAsia"/>
          <w:b/>
          <w:bCs/>
          <w:lang w:eastAsia="zh-CN"/>
        </w:rPr>
      </w:pPr>
    </w:p>
    <w:p w14:paraId="4600AE82">
      <w:pPr>
        <w:rPr>
          <w:rFonts w:hint="eastAsia" w:asciiTheme="minorEastAsia" w:hAnsiTheme="minorEastAsia" w:eastAsiaTheme="minorEastAsia" w:cstheme="minorEastAsia"/>
          <w:b/>
          <w:bCs/>
          <w:lang w:eastAsia="zh-CN"/>
        </w:rPr>
      </w:pPr>
    </w:p>
    <w:p w14:paraId="09CCAC81">
      <w:pPr>
        <w:rPr>
          <w:rFonts w:hint="eastAsia" w:ascii="仿宋_GB2312" w:hAnsi="仿宋"/>
          <w:b/>
          <w:szCs w:val="32"/>
        </w:rPr>
      </w:pPr>
      <w:r>
        <w:rPr>
          <w:rFonts w:hint="eastAsia" w:asciiTheme="minorEastAsia" w:hAnsiTheme="minorEastAsia" w:eastAsiaTheme="minorEastAsia" w:cstheme="minorEastAsia"/>
          <w:b/>
          <w:bCs/>
          <w:lang w:eastAsia="zh-CN"/>
        </w:rPr>
        <w:t>二、</w:t>
      </w:r>
      <w:r>
        <w:rPr>
          <w:rFonts w:hint="eastAsia" w:asciiTheme="minorEastAsia" w:hAnsiTheme="minorEastAsia" w:eastAsiaTheme="minorEastAsia" w:cstheme="minorEastAsia"/>
          <w:b/>
          <w:bCs/>
          <w:szCs w:val="32"/>
        </w:rPr>
        <w:t>评审因素及对应的分值、权重：</w:t>
      </w:r>
    </w:p>
    <w:tbl>
      <w:tblPr>
        <w:tblStyle w:val="11"/>
        <w:tblW w:w="1001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53"/>
        <w:gridCol w:w="2376"/>
        <w:gridCol w:w="6789"/>
      </w:tblGrid>
      <w:tr w14:paraId="6D350A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70" w:hRule="atLeast"/>
        </w:trPr>
        <w:tc>
          <w:tcPr>
            <w:tcW w:w="853" w:type="dxa"/>
            <w:noWrap w:val="0"/>
            <w:vAlign w:val="top"/>
          </w:tcPr>
          <w:p w14:paraId="794993EF">
            <w:pPr>
              <w:ind w:left="0" w:leftChars="0" w:firstLine="0" w:firstLineChars="0"/>
              <w:jc w:val="both"/>
              <w:rPr>
                <w:sz w:val="28"/>
                <w:szCs w:val="28"/>
              </w:rPr>
            </w:pPr>
            <w:r>
              <w:rPr>
                <w:sz w:val="28"/>
                <w:szCs w:val="28"/>
              </w:rPr>
              <w:t>评审因素</w:t>
            </w:r>
          </w:p>
        </w:tc>
        <w:tc>
          <w:tcPr>
            <w:tcW w:w="9165" w:type="dxa"/>
            <w:gridSpan w:val="2"/>
            <w:noWrap w:val="0"/>
            <w:vAlign w:val="top"/>
          </w:tcPr>
          <w:p w14:paraId="16D26D34">
            <w:pPr>
              <w:jc w:val="center"/>
              <w:rPr>
                <w:sz w:val="28"/>
                <w:szCs w:val="28"/>
              </w:rPr>
            </w:pPr>
            <w:r>
              <w:rPr>
                <w:sz w:val="28"/>
                <w:szCs w:val="28"/>
              </w:rPr>
              <w:t>评审标准</w:t>
            </w:r>
          </w:p>
        </w:tc>
      </w:tr>
      <w:tr w14:paraId="17E2A9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noWrap w:val="0"/>
            <w:vAlign w:val="top"/>
          </w:tcPr>
          <w:p w14:paraId="793ADF05">
            <w:pPr>
              <w:ind w:left="0" w:leftChars="0" w:firstLine="0" w:firstLineChars="0"/>
              <w:jc w:val="both"/>
              <w:rPr>
                <w:sz w:val="28"/>
                <w:szCs w:val="28"/>
              </w:rPr>
            </w:pPr>
            <w:r>
              <w:rPr>
                <w:sz w:val="28"/>
                <w:szCs w:val="28"/>
              </w:rPr>
              <w:t>分值构成</w:t>
            </w:r>
          </w:p>
        </w:tc>
        <w:tc>
          <w:tcPr>
            <w:tcW w:w="9165" w:type="dxa"/>
            <w:gridSpan w:val="2"/>
            <w:noWrap w:val="0"/>
            <w:vAlign w:val="top"/>
          </w:tcPr>
          <w:p w14:paraId="108EF29C">
            <w:pPr>
              <w:ind w:left="0" w:leftChars="0" w:firstLine="0" w:firstLineChars="0"/>
              <w:rPr>
                <w:sz w:val="28"/>
                <w:szCs w:val="28"/>
              </w:rPr>
            </w:pPr>
            <w:r>
              <w:rPr>
                <w:rFonts w:hint="eastAsia"/>
                <w:sz w:val="28"/>
                <w:szCs w:val="28"/>
                <w:lang w:val="en-US" w:eastAsia="zh-CN"/>
              </w:rPr>
              <w:t>技术</w:t>
            </w:r>
            <w:r>
              <w:rPr>
                <w:sz w:val="28"/>
                <w:szCs w:val="28"/>
              </w:rPr>
              <w:t>部分</w:t>
            </w:r>
            <w:r>
              <w:rPr>
                <w:rFonts w:hint="eastAsia"/>
                <w:sz w:val="28"/>
                <w:szCs w:val="28"/>
                <w:lang w:val="en-US" w:eastAsia="zh-CN"/>
              </w:rPr>
              <w:t>60</w:t>
            </w:r>
            <w:r>
              <w:rPr>
                <w:sz w:val="28"/>
                <w:szCs w:val="28"/>
              </w:rPr>
              <w:t>.0分</w:t>
            </w:r>
          </w:p>
          <w:p w14:paraId="0DF2287F">
            <w:pPr>
              <w:ind w:left="0" w:leftChars="0" w:firstLine="0" w:firstLineChars="0"/>
            </w:pPr>
            <w:r>
              <w:rPr>
                <w:rFonts w:hint="eastAsia"/>
                <w:sz w:val="28"/>
                <w:szCs w:val="28"/>
                <w:lang w:val="en-US" w:eastAsia="zh-CN"/>
              </w:rPr>
              <w:t>商务</w:t>
            </w:r>
            <w:r>
              <w:rPr>
                <w:sz w:val="28"/>
                <w:szCs w:val="28"/>
              </w:rPr>
              <w:t>部分</w:t>
            </w:r>
            <w:r>
              <w:rPr>
                <w:rFonts w:hint="eastAsia"/>
                <w:sz w:val="28"/>
                <w:szCs w:val="28"/>
                <w:lang w:val="en-US" w:eastAsia="zh-CN"/>
              </w:rPr>
              <w:t>10.</w:t>
            </w:r>
            <w:r>
              <w:rPr>
                <w:sz w:val="28"/>
                <w:szCs w:val="28"/>
              </w:rPr>
              <w:t>0分</w:t>
            </w:r>
          </w:p>
          <w:p w14:paraId="5B2CA1F0">
            <w:pPr>
              <w:ind w:left="0" w:leftChars="0" w:firstLine="0" w:firstLineChars="0"/>
              <w:rPr>
                <w:sz w:val="28"/>
                <w:szCs w:val="28"/>
              </w:rPr>
            </w:pPr>
            <w:r>
              <w:rPr>
                <w:sz w:val="28"/>
                <w:szCs w:val="28"/>
              </w:rPr>
              <w:t>报价得分</w:t>
            </w:r>
            <w:r>
              <w:rPr>
                <w:rFonts w:hint="eastAsia"/>
                <w:sz w:val="28"/>
                <w:szCs w:val="28"/>
                <w:lang w:val="en-US" w:eastAsia="zh-CN"/>
              </w:rPr>
              <w:t>3</w:t>
            </w:r>
            <w:r>
              <w:rPr>
                <w:sz w:val="28"/>
                <w:szCs w:val="28"/>
              </w:rPr>
              <w:t>0.0分</w:t>
            </w:r>
          </w:p>
        </w:tc>
      </w:tr>
      <w:tr w14:paraId="5BFC31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restart"/>
            <w:noWrap w:val="0"/>
            <w:vAlign w:val="top"/>
          </w:tcPr>
          <w:p w14:paraId="5ADE4741">
            <w:pPr>
              <w:ind w:left="0" w:leftChars="0" w:firstLine="0" w:firstLineChars="0"/>
              <w:jc w:val="both"/>
              <w:rPr>
                <w:sz w:val="28"/>
                <w:szCs w:val="28"/>
              </w:rPr>
            </w:pPr>
            <w:r>
              <w:rPr>
                <w:sz w:val="28"/>
                <w:szCs w:val="28"/>
              </w:rPr>
              <w:t>技术部分</w:t>
            </w:r>
          </w:p>
        </w:tc>
        <w:tc>
          <w:tcPr>
            <w:tcW w:w="2376" w:type="dxa"/>
            <w:noWrap w:val="0"/>
            <w:vAlign w:val="top"/>
          </w:tcPr>
          <w:p w14:paraId="3688F1A4">
            <w:pPr>
              <w:ind w:left="0" w:leftChars="0" w:firstLine="0" w:firstLineChars="0"/>
              <w:jc w:val="left"/>
              <w:rPr>
                <w:sz w:val="28"/>
                <w:szCs w:val="28"/>
              </w:rPr>
            </w:pPr>
            <w:r>
              <w:rPr>
                <w:sz w:val="28"/>
                <w:szCs w:val="28"/>
              </w:rPr>
              <w:t>重要技术条款响应  (</w:t>
            </w:r>
            <w:r>
              <w:rPr>
                <w:rFonts w:hint="eastAsia"/>
                <w:sz w:val="28"/>
                <w:szCs w:val="28"/>
                <w:lang w:val="en-US" w:eastAsia="zh-CN"/>
              </w:rPr>
              <w:t>32.</w:t>
            </w:r>
            <w:r>
              <w:rPr>
                <w:sz w:val="28"/>
                <w:szCs w:val="28"/>
              </w:rPr>
              <w:t>0分)</w:t>
            </w:r>
          </w:p>
        </w:tc>
        <w:tc>
          <w:tcPr>
            <w:tcW w:w="6789" w:type="dxa"/>
            <w:noWrap w:val="0"/>
            <w:vAlign w:val="top"/>
          </w:tcPr>
          <w:p w14:paraId="792C8E96">
            <w:pPr>
              <w:jc w:val="left"/>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eastAsia="zh-CN"/>
              </w:rPr>
              <w:t>重要技术条款响应（</w:t>
            </w:r>
            <w:r>
              <w:rPr>
                <w:rFonts w:hint="eastAsia" w:ascii="仿宋" w:hAnsi="仿宋" w:eastAsia="仿宋" w:cs="仿宋"/>
                <w:color w:val="auto"/>
                <w:sz w:val="28"/>
                <w:szCs w:val="28"/>
                <w:shd w:val="clear" w:color="auto" w:fill="auto"/>
                <w:lang w:val="en-US" w:eastAsia="zh-CN"/>
              </w:rPr>
              <w:t>32</w:t>
            </w:r>
            <w:r>
              <w:rPr>
                <w:rFonts w:hint="eastAsia" w:ascii="仿宋" w:hAnsi="仿宋" w:eastAsia="仿宋" w:cs="仿宋"/>
                <w:color w:val="auto"/>
                <w:sz w:val="28"/>
                <w:szCs w:val="28"/>
                <w:shd w:val="clear" w:color="auto" w:fill="auto"/>
                <w:lang w:eastAsia="zh-CN"/>
              </w:rPr>
              <w:t>分）：根据各投标人对采购文件技术要求中“▲”条款（共</w:t>
            </w:r>
            <w:r>
              <w:rPr>
                <w:rFonts w:hint="eastAsia" w:ascii="仿宋" w:hAnsi="仿宋" w:eastAsia="仿宋" w:cs="仿宋"/>
                <w:color w:val="auto"/>
                <w:sz w:val="28"/>
                <w:szCs w:val="28"/>
                <w:shd w:val="clear" w:color="auto" w:fill="auto"/>
                <w:lang w:val="en-US" w:eastAsia="zh-CN"/>
              </w:rPr>
              <w:t>8</w:t>
            </w:r>
            <w:r>
              <w:rPr>
                <w:rFonts w:hint="eastAsia" w:ascii="仿宋" w:hAnsi="仿宋" w:eastAsia="仿宋" w:cs="仿宋"/>
                <w:color w:val="auto"/>
                <w:sz w:val="28"/>
                <w:szCs w:val="28"/>
                <w:shd w:val="clear" w:color="auto" w:fill="auto"/>
                <w:lang w:eastAsia="zh-CN"/>
              </w:rPr>
              <w:t>条）的响应程度进行评分： 全部响应得</w:t>
            </w:r>
            <w:r>
              <w:rPr>
                <w:rFonts w:hint="eastAsia" w:ascii="仿宋" w:hAnsi="仿宋" w:eastAsia="仿宋" w:cs="仿宋"/>
                <w:color w:val="auto"/>
                <w:sz w:val="28"/>
                <w:szCs w:val="28"/>
                <w:shd w:val="clear" w:color="auto" w:fill="auto"/>
                <w:lang w:val="en-US" w:eastAsia="zh-CN"/>
              </w:rPr>
              <w:t>32</w:t>
            </w:r>
            <w:r>
              <w:rPr>
                <w:rFonts w:hint="eastAsia" w:ascii="仿宋" w:hAnsi="仿宋" w:eastAsia="仿宋" w:cs="仿宋"/>
                <w:color w:val="auto"/>
                <w:sz w:val="28"/>
                <w:szCs w:val="28"/>
                <w:shd w:val="clear" w:color="auto" w:fill="auto"/>
                <w:lang w:eastAsia="zh-CN"/>
              </w:rPr>
              <w:t>分，每有一项不响应的扣</w:t>
            </w:r>
            <w:r>
              <w:rPr>
                <w:rFonts w:hint="eastAsia" w:ascii="仿宋" w:hAnsi="仿宋" w:eastAsia="仿宋" w:cs="仿宋"/>
                <w:color w:val="auto"/>
                <w:sz w:val="28"/>
                <w:szCs w:val="28"/>
                <w:shd w:val="clear" w:color="auto" w:fill="auto"/>
                <w:lang w:val="en-US" w:eastAsia="zh-CN"/>
              </w:rPr>
              <w:t>4</w:t>
            </w:r>
            <w:r>
              <w:rPr>
                <w:rFonts w:hint="eastAsia" w:ascii="仿宋" w:hAnsi="仿宋" w:eastAsia="仿宋" w:cs="仿宋"/>
                <w:color w:val="auto"/>
                <w:sz w:val="28"/>
                <w:szCs w:val="28"/>
                <w:shd w:val="clear" w:color="auto" w:fill="auto"/>
                <w:lang w:eastAsia="zh-CN"/>
              </w:rPr>
              <w:t>分。</w:t>
            </w:r>
          </w:p>
          <w:p w14:paraId="1E818152">
            <w:pPr>
              <w:jc w:val="left"/>
              <w:rPr>
                <w:sz w:val="28"/>
                <w:szCs w:val="28"/>
              </w:rPr>
            </w:pPr>
            <w:r>
              <w:rPr>
                <w:rFonts w:hint="eastAsia" w:ascii="仿宋" w:hAnsi="仿宋" w:eastAsia="仿宋" w:cs="仿宋"/>
                <w:color w:val="auto"/>
                <w:sz w:val="28"/>
                <w:szCs w:val="28"/>
                <w:shd w:val="clear" w:color="auto" w:fill="auto"/>
                <w:lang w:eastAsia="zh-CN"/>
              </w:rPr>
              <w:t xml:space="preserve">【注：投标人应对标注“▲”号的重要技术条款逐条进行响应，并提供证明材料。如采购需求中有明确要求提供证明材料的，则以采购需求要求的为准；如采购需求中无明确要求证明材料的，则证明材料以①投标产品彩页或②厂家技术白皮书（如厂家的技术白皮书为英文版，请同时提供中文版），投标人需对证明材料中的技术参数响应内容所在位置进行圈记或明确标识。凡不符合上述要求的证明材料、证明材料模糊不清晰或未对证明材料中的技术参数响应内容所在位置进行圈记或明确标识，导致评审专家无法认定的，该标注“▲”号的重要技术条款将视为负偏离。】 </w:t>
            </w:r>
          </w:p>
        </w:tc>
      </w:tr>
      <w:tr w14:paraId="2649D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noWrap w:val="0"/>
            <w:vAlign w:val="top"/>
          </w:tcPr>
          <w:p w14:paraId="6B68325B">
            <w:pPr>
              <w:jc w:val="center"/>
              <w:rPr>
                <w:sz w:val="28"/>
                <w:szCs w:val="28"/>
              </w:rPr>
            </w:pPr>
          </w:p>
        </w:tc>
        <w:tc>
          <w:tcPr>
            <w:tcW w:w="2376" w:type="dxa"/>
            <w:noWrap w:val="0"/>
            <w:vAlign w:val="top"/>
          </w:tcPr>
          <w:p w14:paraId="18F7FCC8">
            <w:pPr>
              <w:ind w:left="0" w:leftChars="0" w:firstLine="0" w:firstLineChars="0"/>
              <w:jc w:val="left"/>
              <w:rPr>
                <w:sz w:val="28"/>
                <w:szCs w:val="28"/>
              </w:rPr>
            </w:pPr>
            <w:r>
              <w:rPr>
                <w:sz w:val="28"/>
                <w:szCs w:val="28"/>
              </w:rPr>
              <w:t>一般技术条款响应 (</w:t>
            </w:r>
            <w:r>
              <w:rPr>
                <w:rFonts w:hint="eastAsia"/>
                <w:sz w:val="28"/>
                <w:szCs w:val="28"/>
                <w:lang w:val="en-US" w:eastAsia="zh-CN"/>
              </w:rPr>
              <w:t>11</w:t>
            </w:r>
            <w:r>
              <w:rPr>
                <w:sz w:val="28"/>
                <w:szCs w:val="28"/>
              </w:rPr>
              <w:t>.0分)</w:t>
            </w:r>
          </w:p>
        </w:tc>
        <w:tc>
          <w:tcPr>
            <w:tcW w:w="6789" w:type="dxa"/>
            <w:noWrap w:val="0"/>
            <w:vAlign w:val="top"/>
          </w:tcPr>
          <w:p w14:paraId="3B5252E5">
            <w:pPr>
              <w:jc w:val="left"/>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val="en-US" w:eastAsia="zh-CN"/>
              </w:rPr>
              <w:t>所投货物技术参数及性能与技术规格要求的符合性（11分）：</w:t>
            </w:r>
            <w:r>
              <w:rPr>
                <w:rFonts w:hint="eastAsia" w:ascii="仿宋" w:hAnsi="仿宋" w:eastAsia="仿宋" w:cs="仿宋"/>
                <w:color w:val="auto"/>
                <w:sz w:val="28"/>
                <w:szCs w:val="28"/>
                <w:shd w:val="clear" w:color="auto" w:fill="auto"/>
                <w:lang w:eastAsia="zh-CN"/>
              </w:rPr>
              <w:t>根根据各投标人对采购文件技术要求中一般条款（共</w:t>
            </w:r>
            <w:r>
              <w:rPr>
                <w:rFonts w:hint="eastAsia" w:ascii="仿宋" w:hAnsi="仿宋" w:eastAsia="仿宋" w:cs="仿宋"/>
                <w:color w:val="auto"/>
                <w:sz w:val="28"/>
                <w:szCs w:val="28"/>
                <w:shd w:val="clear" w:color="auto" w:fill="auto"/>
                <w:lang w:val="en-US" w:eastAsia="zh-CN"/>
              </w:rPr>
              <w:t>11</w:t>
            </w:r>
            <w:r>
              <w:rPr>
                <w:rFonts w:hint="eastAsia" w:ascii="仿宋" w:hAnsi="仿宋" w:eastAsia="仿宋" w:cs="仿宋"/>
                <w:color w:val="auto"/>
                <w:sz w:val="28"/>
                <w:szCs w:val="28"/>
                <w:shd w:val="clear" w:color="auto" w:fill="auto"/>
                <w:lang w:eastAsia="zh-CN"/>
              </w:rPr>
              <w:t>条）的响应程度进行评分： 全部响应得</w:t>
            </w:r>
            <w:r>
              <w:rPr>
                <w:rFonts w:hint="eastAsia" w:ascii="仿宋" w:hAnsi="仿宋" w:eastAsia="仿宋" w:cs="仿宋"/>
                <w:color w:val="auto"/>
                <w:sz w:val="28"/>
                <w:szCs w:val="28"/>
                <w:shd w:val="clear" w:color="auto" w:fill="auto"/>
                <w:lang w:val="en-US" w:eastAsia="zh-CN"/>
              </w:rPr>
              <w:t>11</w:t>
            </w:r>
            <w:r>
              <w:rPr>
                <w:rFonts w:hint="eastAsia" w:ascii="仿宋" w:hAnsi="仿宋" w:eastAsia="仿宋" w:cs="仿宋"/>
                <w:color w:val="auto"/>
                <w:sz w:val="28"/>
                <w:szCs w:val="28"/>
                <w:shd w:val="clear" w:color="auto" w:fill="auto"/>
                <w:lang w:eastAsia="zh-CN"/>
              </w:rPr>
              <w:t>分，每有一项不响应的扣</w:t>
            </w:r>
            <w:r>
              <w:rPr>
                <w:rFonts w:hint="eastAsia" w:ascii="仿宋" w:hAnsi="仿宋" w:eastAsia="仿宋" w:cs="仿宋"/>
                <w:color w:val="auto"/>
                <w:sz w:val="28"/>
                <w:szCs w:val="28"/>
                <w:shd w:val="clear" w:color="auto" w:fill="auto"/>
                <w:lang w:val="en-US" w:eastAsia="zh-CN"/>
              </w:rPr>
              <w:t>1</w:t>
            </w:r>
            <w:r>
              <w:rPr>
                <w:rFonts w:hint="eastAsia" w:ascii="仿宋" w:hAnsi="仿宋" w:eastAsia="仿宋" w:cs="仿宋"/>
                <w:color w:val="auto"/>
                <w:sz w:val="28"/>
                <w:szCs w:val="28"/>
                <w:shd w:val="clear" w:color="auto" w:fill="auto"/>
                <w:lang w:eastAsia="zh-CN"/>
              </w:rPr>
              <w:t xml:space="preserve">分。 </w:t>
            </w:r>
          </w:p>
          <w:p w14:paraId="23FC9C34">
            <w:pPr>
              <w:jc w:val="left"/>
            </w:pPr>
            <w:r>
              <w:rPr>
                <w:rFonts w:hint="eastAsia" w:ascii="仿宋" w:hAnsi="仿宋" w:eastAsia="仿宋" w:cs="仿宋"/>
                <w:color w:val="auto"/>
                <w:sz w:val="28"/>
                <w:szCs w:val="28"/>
                <w:shd w:val="clear" w:color="auto" w:fill="auto"/>
              </w:rPr>
              <w:t>【注：投标人应对不带“★”号及不带“▲”号的一般技术参数逐条进行响应，并提供证明材料。如采购需求中有明确要求提供证明材料的，则以采购需求要求的为准；如采购需求中无明确要求证明材料的，则证明材料以①投标产品彩页或②厂家技术白皮书（如厂家的技术白皮书为英文版，请同时提供中文版）。投标人需对证明材料中的技术参数响应内容所在位置进行圈记或明确标识。凡不符合上述要求的证明材料、证明材料模糊不清晰或未对证明材料中的技术参数响应内容所在位置进行圈记或明确标识，导致评审专家无法认定的，该不带“★”号及不带“▲”号的一般技术参数将视为负偏离。】</w:t>
            </w:r>
          </w:p>
        </w:tc>
      </w:tr>
      <w:tr w14:paraId="0D6FF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35" w:hRule="atLeast"/>
        </w:trPr>
        <w:tc>
          <w:tcPr>
            <w:tcW w:w="853" w:type="dxa"/>
            <w:vMerge w:val="continue"/>
            <w:noWrap w:val="0"/>
            <w:vAlign w:val="top"/>
          </w:tcPr>
          <w:p w14:paraId="3890BFA5">
            <w:pPr>
              <w:ind w:left="0" w:leftChars="0" w:firstLine="0" w:firstLineChars="0"/>
              <w:jc w:val="both"/>
              <w:rPr>
                <w:rFonts w:hint="eastAsia"/>
                <w:sz w:val="28"/>
                <w:szCs w:val="28"/>
                <w:lang w:val="en-US" w:eastAsia="zh-CN"/>
              </w:rPr>
            </w:pPr>
          </w:p>
        </w:tc>
        <w:tc>
          <w:tcPr>
            <w:tcW w:w="2376" w:type="dxa"/>
            <w:noWrap w:val="0"/>
            <w:vAlign w:val="top"/>
          </w:tcPr>
          <w:p w14:paraId="1D27C32E">
            <w:pPr>
              <w:ind w:left="0" w:lef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lang w:val="en-US" w:eastAsia="zh-CN"/>
              </w:rPr>
              <w:t>质量保证方案 (6.0分)</w:t>
            </w:r>
          </w:p>
        </w:tc>
        <w:tc>
          <w:tcPr>
            <w:tcW w:w="6789" w:type="dxa"/>
            <w:noWrap w:val="0"/>
            <w:vAlign w:val="top"/>
          </w:tcPr>
          <w:p w14:paraId="0A13B646">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根据投标人针对本项目所提供的质量保证方案，方案内容包括但不限于质保年限、质量保证目标、质量保障措施等内容、提供备品备件服务等内容进行评审：</w:t>
            </w:r>
          </w:p>
          <w:p w14:paraId="67ED4B18">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1）投标人所提供的质保年限和质量保证目标、质量保障措施方案内容详细，有完整合理的部署规划，有安排人员负责响应采购人的维修要求及服务过程中的沟通，有完整可行操作的维修处理方法，对日常维修和应急情况响应及时，优于或完全满足项目要求的得6分；</w:t>
            </w:r>
          </w:p>
          <w:p w14:paraId="1CF10054">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投标人所提供的质保年限和质量保证目标、质量保障措施方案基本完整，部署规划基本合理，有安排人员负责响应采购人的维修要求及服务过程中的沟通，维修处理方法基本合理可行，对日常维修和应急情况响应较及时，基本满足项目要求的得4分；</w:t>
            </w:r>
          </w:p>
          <w:p w14:paraId="7042DD22">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3）投标人只提供了简单的售后服务方案，投标人有提供质保期年限和质量保证目标、质量保障措施方案，但内容不详细，部署规划不合理，有人员响应采购人的维修要求及服务过程中的沟通，有基本的操作的维修处理方法，对日常维修和应急情况响应不及时，部分满足项目要求的得2分；</w:t>
            </w:r>
          </w:p>
          <w:p w14:paraId="56273675">
            <w:pPr>
              <w:keepNext w:val="0"/>
              <w:keepLines w:val="0"/>
              <w:suppressLineNumbers w:val="0"/>
              <w:snapToGrid w:val="0"/>
              <w:spacing w:before="0" w:beforeAutospacing="0" w:after="0" w:afterAutospacing="0" w:line="276" w:lineRule="auto"/>
              <w:ind w:left="0" w:right="0"/>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lang w:val="en-US" w:eastAsia="zh-CN"/>
              </w:rPr>
              <w:t>（4）不提供的不得分。</w:t>
            </w:r>
          </w:p>
        </w:tc>
      </w:tr>
      <w:tr w14:paraId="45F2D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35" w:hRule="atLeast"/>
        </w:trPr>
        <w:tc>
          <w:tcPr>
            <w:tcW w:w="853" w:type="dxa"/>
            <w:vMerge w:val="continue"/>
            <w:noWrap w:val="0"/>
            <w:vAlign w:val="top"/>
          </w:tcPr>
          <w:p w14:paraId="13EF3CCF">
            <w:pPr>
              <w:ind w:left="0" w:leftChars="0" w:firstLine="0" w:firstLineChars="0"/>
              <w:jc w:val="both"/>
              <w:rPr>
                <w:rFonts w:hint="eastAsia"/>
                <w:sz w:val="28"/>
                <w:szCs w:val="28"/>
                <w:lang w:val="en-US" w:eastAsia="zh-CN"/>
              </w:rPr>
            </w:pPr>
          </w:p>
        </w:tc>
        <w:tc>
          <w:tcPr>
            <w:tcW w:w="2376" w:type="dxa"/>
            <w:noWrap w:val="0"/>
            <w:vAlign w:val="top"/>
          </w:tcPr>
          <w:p w14:paraId="7B18CCFF">
            <w:pPr>
              <w:ind w:left="0" w:lef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lang w:val="en-US" w:eastAsia="zh-CN"/>
              </w:rPr>
              <w:t>项目实施方案 (5.0分)</w:t>
            </w:r>
          </w:p>
        </w:tc>
        <w:tc>
          <w:tcPr>
            <w:tcW w:w="6789" w:type="dxa"/>
            <w:noWrap w:val="0"/>
            <w:vAlign w:val="top"/>
          </w:tcPr>
          <w:p w14:paraId="4753C69B">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根据投标人针对本项目所提供的项目实施方案（不包括售后服务和培训方案），包括但不限于项目到货计划、项目实施计划、项目运输保障、安装调试（如计划步骤、人员安排等）等内容进行评审：</w:t>
            </w:r>
          </w:p>
          <w:p w14:paraId="39475E8A">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（1）投标人针对本项目有明确具体的计划安排、对每个标的设备的运输过程有针对性保障手段、设备到场时的专人安装调试有明确的安排措施，优于或完全满足采购需求得5分；</w:t>
            </w:r>
          </w:p>
          <w:p w14:paraId="6AC334E6">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（2）投标人针对本项目有明确的计划安排、对设备的运输过程有基本的保障手段、设备到场时的专人安装调试有基本的安排措施，基本满足采购需求得3分；</w:t>
            </w:r>
          </w:p>
          <w:p w14:paraId="69001875">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（3）投标人针对本项目有简单的计划安排、对设备的运输过程有简单的保障手段、设备到场时的专人安装调试有简单的安排措施，部分满足采购需求得1分；</w:t>
            </w:r>
          </w:p>
          <w:p w14:paraId="064F8E58">
            <w:pPr>
              <w:keepNext w:val="0"/>
              <w:keepLines w:val="0"/>
              <w:suppressLineNumbers w:val="0"/>
              <w:snapToGrid w:val="0"/>
              <w:spacing w:before="0" w:beforeAutospacing="0" w:after="0" w:afterAutospacing="0" w:line="276" w:lineRule="auto"/>
              <w:ind w:left="0" w:right="0"/>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lang w:val="en-US" w:eastAsia="zh-CN"/>
              </w:rPr>
              <w:t>（4）不提供的不得分。</w:t>
            </w:r>
          </w:p>
        </w:tc>
      </w:tr>
      <w:tr w14:paraId="6C173F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94" w:hRule="atLeast"/>
        </w:trPr>
        <w:tc>
          <w:tcPr>
            <w:tcW w:w="853" w:type="dxa"/>
            <w:vMerge w:val="continue"/>
            <w:noWrap w:val="0"/>
            <w:vAlign w:val="top"/>
          </w:tcPr>
          <w:p w14:paraId="41E179F6">
            <w:pPr>
              <w:ind w:left="0" w:leftChars="0" w:firstLine="0" w:firstLineChars="0"/>
              <w:jc w:val="both"/>
              <w:rPr>
                <w:rFonts w:hint="eastAsia"/>
                <w:sz w:val="28"/>
                <w:szCs w:val="28"/>
                <w:lang w:val="en-US" w:eastAsia="zh-CN"/>
              </w:rPr>
            </w:pPr>
          </w:p>
        </w:tc>
        <w:tc>
          <w:tcPr>
            <w:tcW w:w="2376" w:type="dxa"/>
            <w:noWrap w:val="0"/>
            <w:vAlign w:val="top"/>
          </w:tcPr>
          <w:p w14:paraId="37514C08">
            <w:pPr>
              <w:ind w:left="0" w:lef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highlight w:val="none"/>
                <w:shd w:val="clear" w:color="auto" w:fill="auto"/>
              </w:rPr>
              <w:t>培训方案 (</w:t>
            </w:r>
            <w:r>
              <w:rPr>
                <w:rFonts w:hint="eastAsia" w:ascii="仿宋" w:hAnsi="仿宋" w:eastAsia="仿宋" w:cs="仿宋"/>
                <w:color w:val="auto"/>
                <w:sz w:val="28"/>
                <w:szCs w:val="28"/>
                <w:highlight w:val="none"/>
                <w:shd w:val="clear" w:color="auto" w:fill="auto"/>
                <w:lang w:val="en-US" w:eastAsia="zh-CN"/>
              </w:rPr>
              <w:t>6</w:t>
            </w:r>
            <w:r>
              <w:rPr>
                <w:rFonts w:hint="eastAsia" w:ascii="仿宋" w:hAnsi="仿宋" w:eastAsia="仿宋" w:cs="仿宋"/>
                <w:color w:val="auto"/>
                <w:sz w:val="28"/>
                <w:szCs w:val="28"/>
                <w:highlight w:val="none"/>
                <w:shd w:val="clear" w:color="auto" w:fill="auto"/>
              </w:rPr>
              <w:t>.0分)</w:t>
            </w:r>
          </w:p>
        </w:tc>
        <w:tc>
          <w:tcPr>
            <w:tcW w:w="6789" w:type="dxa"/>
            <w:noWrap w:val="0"/>
            <w:vAlign w:val="top"/>
          </w:tcPr>
          <w:p w14:paraId="29863408">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highlight w:val="none"/>
                <w:shd w:val="clear" w:color="auto" w:fill="auto"/>
                <w:lang w:eastAsia="zh-CN"/>
              </w:rPr>
              <w:t>投标</w:t>
            </w:r>
            <w:r>
              <w:rPr>
                <w:rFonts w:hint="eastAsia" w:ascii="仿宋" w:hAnsi="仿宋" w:eastAsia="仿宋" w:cs="仿宋"/>
                <w:color w:val="auto"/>
                <w:sz w:val="28"/>
                <w:szCs w:val="28"/>
                <w:shd w:val="clear" w:color="auto" w:fill="auto"/>
                <w:lang w:eastAsia="zh-CN"/>
              </w:rPr>
              <w:t>人根据产品特点及保养事项对采购人所使用设备人员提供设备操作及操作过程中注意事项等内容进行培训：</w:t>
            </w:r>
          </w:p>
          <w:p w14:paraId="10AB95F3">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eastAsia="zh-CN"/>
              </w:rPr>
              <w:t>（1）投标人针对本项目为采购人提供有专人指导和简单上手的设备操作培训课程安排，有明确的课程及培训内容安排，对设备的操作过程中注意事项有详细指引，对特殊情况（如设备反复重启，操作失灵，错误操作等情况）有图文详解及完整应对培训的，得</w:t>
            </w:r>
            <w:r>
              <w:rPr>
                <w:rFonts w:hint="eastAsia" w:ascii="仿宋" w:hAnsi="仿宋" w:eastAsia="仿宋" w:cs="仿宋"/>
                <w:color w:val="auto"/>
                <w:sz w:val="28"/>
                <w:szCs w:val="28"/>
                <w:shd w:val="clear" w:color="auto" w:fill="auto"/>
                <w:lang w:val="en-US" w:eastAsia="zh-CN"/>
              </w:rPr>
              <w:t>6</w:t>
            </w:r>
            <w:r>
              <w:rPr>
                <w:rFonts w:hint="eastAsia" w:ascii="仿宋" w:hAnsi="仿宋" w:eastAsia="仿宋" w:cs="仿宋"/>
                <w:color w:val="auto"/>
                <w:sz w:val="28"/>
                <w:szCs w:val="28"/>
                <w:shd w:val="clear" w:color="auto" w:fill="auto"/>
                <w:lang w:eastAsia="zh-CN"/>
              </w:rPr>
              <w:t>分；</w:t>
            </w:r>
          </w:p>
          <w:p w14:paraId="1CD78D04">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eastAsia="zh-CN"/>
              </w:rPr>
              <w:t>（2）投标人针对本项目为采购人提供有专人指导和简单上手的设备操作培训课程安排，有简单的课程及培训内容安排，对设备的操作过程中注意事项有基本操作指引，得</w:t>
            </w:r>
            <w:r>
              <w:rPr>
                <w:rFonts w:hint="eastAsia" w:ascii="仿宋" w:hAnsi="仿宋" w:eastAsia="仿宋" w:cs="仿宋"/>
                <w:color w:val="auto"/>
                <w:sz w:val="28"/>
                <w:szCs w:val="28"/>
                <w:shd w:val="clear" w:color="auto" w:fill="auto"/>
                <w:lang w:val="en-US" w:eastAsia="zh-CN"/>
              </w:rPr>
              <w:t>4</w:t>
            </w:r>
            <w:r>
              <w:rPr>
                <w:rFonts w:hint="eastAsia" w:ascii="仿宋" w:hAnsi="仿宋" w:eastAsia="仿宋" w:cs="仿宋"/>
                <w:color w:val="auto"/>
                <w:sz w:val="28"/>
                <w:szCs w:val="28"/>
                <w:shd w:val="clear" w:color="auto" w:fill="auto"/>
                <w:lang w:eastAsia="zh-CN"/>
              </w:rPr>
              <w:t>分；</w:t>
            </w:r>
          </w:p>
          <w:p w14:paraId="082A3B9F">
            <w:pPr>
              <w:keepNext w:val="0"/>
              <w:keepLines w:val="0"/>
              <w:suppressLineNumbers w:val="0"/>
              <w:snapToGrid w:val="0"/>
              <w:spacing w:before="0" w:beforeAutospacing="0" w:after="0" w:afterAutospacing="0" w:line="276" w:lineRule="auto"/>
              <w:ind w:left="0" w:right="0"/>
              <w:rPr>
                <w:rFonts w:hint="eastAsia" w:ascii="仿宋" w:hAnsi="仿宋" w:eastAsia="仿宋" w:cs="仿宋"/>
                <w:color w:val="auto"/>
                <w:sz w:val="28"/>
                <w:szCs w:val="28"/>
                <w:shd w:val="clear" w:color="auto" w:fill="auto"/>
                <w:lang w:eastAsia="zh-CN"/>
              </w:rPr>
            </w:pPr>
            <w:r>
              <w:rPr>
                <w:rFonts w:hint="eastAsia" w:ascii="仿宋" w:hAnsi="仿宋" w:eastAsia="仿宋" w:cs="仿宋"/>
                <w:color w:val="auto"/>
                <w:sz w:val="28"/>
                <w:szCs w:val="28"/>
                <w:shd w:val="clear" w:color="auto" w:fill="auto"/>
                <w:lang w:eastAsia="zh-CN"/>
              </w:rPr>
              <w:t>（3）投标人提供指导和培训课程安排简单含糊，课程及培训内容安排不明确，对操作培训含糊其辞，得</w:t>
            </w:r>
            <w:r>
              <w:rPr>
                <w:rFonts w:hint="eastAsia" w:ascii="仿宋" w:hAnsi="仿宋" w:eastAsia="仿宋" w:cs="仿宋"/>
                <w:color w:val="auto"/>
                <w:sz w:val="28"/>
                <w:szCs w:val="28"/>
                <w:shd w:val="clear" w:color="auto" w:fill="auto"/>
                <w:lang w:val="en-US" w:eastAsia="zh-CN"/>
              </w:rPr>
              <w:t>2</w:t>
            </w:r>
            <w:r>
              <w:rPr>
                <w:rFonts w:hint="eastAsia" w:ascii="仿宋" w:hAnsi="仿宋" w:eastAsia="仿宋" w:cs="仿宋"/>
                <w:color w:val="auto"/>
                <w:sz w:val="28"/>
                <w:szCs w:val="28"/>
                <w:shd w:val="clear" w:color="auto" w:fill="auto"/>
                <w:lang w:eastAsia="zh-CN"/>
              </w:rPr>
              <w:t xml:space="preserve">分； </w:t>
            </w:r>
          </w:p>
          <w:p w14:paraId="4F548608">
            <w:pPr>
              <w:keepNext w:val="0"/>
              <w:keepLines w:val="0"/>
              <w:suppressLineNumbers w:val="0"/>
              <w:snapToGrid w:val="0"/>
              <w:spacing w:before="0" w:beforeAutospacing="0" w:after="0" w:afterAutospacing="0" w:line="276" w:lineRule="auto"/>
              <w:ind w:left="0" w:right="0"/>
              <w:rPr>
                <w:rFonts w:hint="eastAsia" w:ascii="仿宋" w:hAnsi="仿宋" w:eastAsia="仿宋" w:cs="仿宋"/>
                <w:sz w:val="28"/>
                <w:szCs w:val="28"/>
              </w:rPr>
            </w:pPr>
            <w:r>
              <w:rPr>
                <w:rFonts w:hint="eastAsia" w:ascii="仿宋" w:hAnsi="仿宋" w:eastAsia="仿宋" w:cs="仿宋"/>
                <w:color w:val="auto"/>
                <w:sz w:val="28"/>
                <w:szCs w:val="28"/>
                <w:shd w:val="clear" w:color="auto" w:fill="auto"/>
                <w:lang w:eastAsia="zh-CN"/>
              </w:rPr>
              <w:t>（4）不提供的不得分。</w:t>
            </w:r>
          </w:p>
        </w:tc>
      </w:tr>
      <w:tr w14:paraId="524D5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53" w:hRule="atLeast"/>
        </w:trPr>
        <w:tc>
          <w:tcPr>
            <w:tcW w:w="853" w:type="dxa"/>
            <w:vMerge w:val="restart"/>
            <w:noWrap w:val="0"/>
            <w:vAlign w:val="top"/>
          </w:tcPr>
          <w:p w14:paraId="3A9D4CE5">
            <w:pPr>
              <w:ind w:left="0" w:leftChars="0" w:firstLine="0" w:firstLineChars="0"/>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商务部分</w:t>
            </w:r>
          </w:p>
        </w:tc>
        <w:tc>
          <w:tcPr>
            <w:tcW w:w="2376" w:type="dxa"/>
            <w:noWrap w:val="0"/>
            <w:vAlign w:val="top"/>
          </w:tcPr>
          <w:p w14:paraId="1D42B9F3">
            <w:pPr>
              <w:ind w:left="0" w:leftChars="0" w:firstLine="0" w:firstLineChars="0"/>
              <w:jc w:val="left"/>
              <w:rPr>
                <w:rFonts w:hint="eastAsia" w:ascii="仿宋" w:hAnsi="仿宋" w:eastAsia="仿宋" w:cs="仿宋"/>
                <w:kern w:val="2"/>
                <w:sz w:val="28"/>
                <w:szCs w:val="28"/>
                <w:lang w:val="en-US" w:eastAsia="zh-CN" w:bidi="ar-SA"/>
              </w:rPr>
            </w:pPr>
            <w:r>
              <w:rPr>
                <w:rFonts w:hint="eastAsia" w:ascii="仿宋" w:hAnsi="仿宋" w:eastAsia="仿宋" w:cs="仿宋"/>
                <w:color w:val="auto"/>
                <w:sz w:val="28"/>
                <w:szCs w:val="28"/>
                <w:shd w:val="clear" w:color="auto" w:fill="auto"/>
                <w:lang w:val="en-US" w:eastAsia="zh-CN"/>
              </w:rPr>
              <w:t>投标人的信用、体系认证情况（2.0分）</w:t>
            </w:r>
          </w:p>
        </w:tc>
        <w:tc>
          <w:tcPr>
            <w:tcW w:w="6789" w:type="dxa"/>
            <w:noWrap w:val="0"/>
            <w:vAlign w:val="center"/>
          </w:tcPr>
          <w:p w14:paraId="68730B1A">
            <w:pPr>
              <w:keepNext w:val="0"/>
              <w:keepLines w:val="0"/>
              <w:suppressLineNumbers w:val="0"/>
              <w:snapToGrid w:val="0"/>
              <w:spacing w:before="0" w:beforeAutospacing="0" w:after="0" w:afterAutospacing="0" w:line="276" w:lineRule="auto"/>
              <w:ind w:left="0" w:right="0"/>
              <w:jc w:val="center"/>
              <w:rPr>
                <w:rFonts w:hint="eastAsia" w:ascii="仿宋" w:hAnsi="仿宋" w:eastAsia="仿宋" w:cs="仿宋"/>
                <w:kern w:val="2"/>
                <w:sz w:val="28"/>
                <w:szCs w:val="28"/>
                <w:lang w:val="en-US" w:eastAsia="zh-CN" w:bidi="ar-SA"/>
              </w:rPr>
            </w:pPr>
            <w:r>
              <w:rPr>
                <w:rFonts w:hint="eastAsia" w:ascii="仿宋" w:hAnsi="仿宋" w:eastAsia="仿宋" w:cs="仿宋"/>
                <w:color w:val="auto"/>
                <w:sz w:val="28"/>
                <w:szCs w:val="28"/>
                <w:shd w:val="clear" w:color="auto" w:fill="auto"/>
              </w:rPr>
              <w:t>投标人具有有效期内的有效的质量管理体系认证证书。提供认证证书扫描件得</w:t>
            </w:r>
            <w:r>
              <w:rPr>
                <w:rFonts w:hint="eastAsia" w:ascii="仿宋" w:hAnsi="仿宋" w:eastAsia="仿宋" w:cs="仿宋"/>
                <w:color w:val="auto"/>
                <w:sz w:val="28"/>
                <w:szCs w:val="28"/>
                <w:shd w:val="clear" w:color="auto" w:fill="auto"/>
                <w:lang w:val="en-US" w:eastAsia="zh-CN"/>
              </w:rPr>
              <w:t>2</w:t>
            </w:r>
            <w:r>
              <w:rPr>
                <w:rFonts w:hint="eastAsia" w:ascii="仿宋" w:hAnsi="仿宋" w:eastAsia="仿宋" w:cs="仿宋"/>
                <w:color w:val="auto"/>
                <w:sz w:val="28"/>
                <w:szCs w:val="28"/>
                <w:shd w:val="clear" w:color="auto" w:fill="auto"/>
              </w:rPr>
              <w:t>分，不提供不得分。</w:t>
            </w:r>
          </w:p>
        </w:tc>
      </w:tr>
      <w:tr w14:paraId="723DC5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noWrap w:val="0"/>
            <w:vAlign w:val="top"/>
          </w:tcPr>
          <w:p w14:paraId="0150B5D8">
            <w:pPr>
              <w:rPr>
                <w:sz w:val="28"/>
                <w:szCs w:val="28"/>
              </w:rPr>
            </w:pPr>
          </w:p>
        </w:tc>
        <w:tc>
          <w:tcPr>
            <w:tcW w:w="2376" w:type="dxa"/>
            <w:noWrap w:val="0"/>
            <w:vAlign w:val="top"/>
          </w:tcPr>
          <w:p w14:paraId="5E00D23E">
            <w:pPr>
              <w:ind w:left="0" w:leftChars="0" w:firstLine="0" w:firstLineChars="0"/>
              <w:jc w:val="left"/>
              <w:rPr>
                <w:rFonts w:hint="eastAsia" w:ascii="仿宋" w:hAnsi="仿宋" w:eastAsia="仿宋" w:cs="仿宋"/>
                <w:sz w:val="28"/>
                <w:szCs w:val="28"/>
              </w:rPr>
            </w:pPr>
            <w:r>
              <w:rPr>
                <w:rFonts w:hint="eastAsia" w:ascii="仿宋" w:hAnsi="仿宋" w:eastAsia="仿宋" w:cs="仿宋"/>
                <w:sz w:val="28"/>
                <w:szCs w:val="28"/>
              </w:rPr>
              <w:t>同类项目</w:t>
            </w:r>
            <w:r>
              <w:rPr>
                <w:rFonts w:hint="eastAsia" w:ascii="仿宋" w:hAnsi="仿宋" w:eastAsia="仿宋" w:cs="仿宋"/>
                <w:sz w:val="28"/>
                <w:szCs w:val="28"/>
                <w:lang w:val="en-US" w:eastAsia="zh-CN"/>
              </w:rPr>
              <w:t>业绩</w:t>
            </w:r>
            <w:r>
              <w:rPr>
                <w:rFonts w:hint="eastAsia" w:ascii="仿宋" w:hAnsi="仿宋" w:eastAsia="仿宋" w:cs="仿宋"/>
                <w:sz w:val="28"/>
                <w:szCs w:val="28"/>
              </w:rPr>
              <w:t>情况 (</w:t>
            </w:r>
            <w:r>
              <w:rPr>
                <w:rFonts w:hint="eastAsia" w:ascii="仿宋" w:hAnsi="仿宋" w:eastAsia="仿宋" w:cs="仿宋"/>
                <w:sz w:val="28"/>
                <w:szCs w:val="28"/>
                <w:lang w:val="en-US" w:eastAsia="zh-CN"/>
              </w:rPr>
              <w:t>6.0</w:t>
            </w:r>
            <w:r>
              <w:rPr>
                <w:rFonts w:hint="eastAsia" w:ascii="仿宋" w:hAnsi="仿宋" w:eastAsia="仿宋" w:cs="仿宋"/>
                <w:sz w:val="28"/>
                <w:szCs w:val="28"/>
              </w:rPr>
              <w:t>分)</w:t>
            </w:r>
          </w:p>
        </w:tc>
        <w:tc>
          <w:tcPr>
            <w:tcW w:w="6789" w:type="dxa"/>
            <w:noWrap w:val="0"/>
            <w:vAlign w:val="top"/>
          </w:tcPr>
          <w:p w14:paraId="03B57869">
            <w:pPr>
              <w:keepNext w:val="0"/>
              <w:keepLines w:val="0"/>
              <w:suppressLineNumbers w:val="0"/>
              <w:snapToGrid w:val="0"/>
              <w:spacing w:before="0" w:beforeAutospacing="0" w:after="0" w:afterAutospacing="0" w:line="276" w:lineRule="auto"/>
              <w:ind w:left="0" w:right="0"/>
              <w:rPr>
                <w:rFonts w:hint="eastAsia" w:ascii="仿宋" w:hAnsi="仿宋" w:eastAsia="仿宋" w:cs="仿宋"/>
                <w:sz w:val="28"/>
                <w:szCs w:val="28"/>
              </w:rPr>
            </w:pPr>
            <w:r>
              <w:rPr>
                <w:rFonts w:hint="eastAsia" w:ascii="仿宋" w:hAnsi="仿宋" w:eastAsia="仿宋" w:cs="仿宋"/>
                <w:color w:val="auto"/>
                <w:sz w:val="28"/>
                <w:szCs w:val="28"/>
                <w:shd w:val="clear" w:color="auto" w:fill="auto"/>
                <w:lang w:val="en-US" w:eastAsia="zh-CN"/>
              </w:rPr>
              <w:t>投标人同类电动取皮机设备供货业绩的评审：2023年1月1日至今投标人具有同类设备供货项目业绩，每提供1个业绩，得2.0分，最高得6.0分 (提供合同复印件，以签订合同的时间为准，不提供不得分）</w:t>
            </w:r>
          </w:p>
        </w:tc>
      </w:tr>
      <w:tr w14:paraId="214B8B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noWrap w:val="0"/>
            <w:vAlign w:val="top"/>
          </w:tcPr>
          <w:p w14:paraId="144DFB00">
            <w:pPr>
              <w:rPr>
                <w:sz w:val="28"/>
                <w:szCs w:val="28"/>
              </w:rPr>
            </w:pPr>
          </w:p>
        </w:tc>
        <w:tc>
          <w:tcPr>
            <w:tcW w:w="2376" w:type="dxa"/>
            <w:noWrap w:val="0"/>
            <w:vAlign w:val="top"/>
          </w:tcPr>
          <w:p w14:paraId="489922F9">
            <w:pPr>
              <w:pStyle w:val="30"/>
              <w:jc w:val="left"/>
              <w:rPr>
                <w:rFonts w:hint="eastAsia" w:ascii="仿宋" w:hAnsi="仿宋" w:eastAsia="仿宋" w:cs="仿宋"/>
                <w:sz w:val="28"/>
                <w:szCs w:val="28"/>
              </w:rPr>
            </w:pPr>
            <w:r>
              <w:rPr>
                <w:rFonts w:hint="eastAsia" w:ascii="仿宋" w:hAnsi="仿宋" w:eastAsia="仿宋" w:cs="仿宋"/>
                <w:sz w:val="28"/>
                <w:szCs w:val="28"/>
              </w:rPr>
              <w:t>产品授权证明 (</w:t>
            </w:r>
            <w:r>
              <w:rPr>
                <w:rFonts w:hint="eastAsia" w:ascii="仿宋" w:hAnsi="仿宋" w:eastAsia="仿宋" w:cs="仿宋"/>
                <w:sz w:val="28"/>
                <w:szCs w:val="28"/>
                <w:lang w:val="en-US" w:eastAsia="zh-CN"/>
              </w:rPr>
              <w:t>2</w:t>
            </w:r>
            <w:r>
              <w:rPr>
                <w:rFonts w:hint="eastAsia" w:ascii="仿宋" w:hAnsi="仿宋" w:eastAsia="仿宋" w:cs="仿宋"/>
                <w:sz w:val="28"/>
                <w:szCs w:val="28"/>
              </w:rPr>
              <w:t>.0分)</w:t>
            </w:r>
          </w:p>
        </w:tc>
        <w:tc>
          <w:tcPr>
            <w:tcW w:w="6789" w:type="dxa"/>
            <w:noWrap w:val="0"/>
            <w:vAlign w:val="top"/>
          </w:tcPr>
          <w:p w14:paraId="1A7F9B95">
            <w:pPr>
              <w:pStyle w:val="30"/>
              <w:keepNext w:val="0"/>
              <w:keepLines w:val="0"/>
              <w:pageBreakBefore w:val="0"/>
              <w:widowControl/>
              <w:kinsoku/>
              <w:wordWrap/>
              <w:overflowPunct/>
              <w:topLinePunct w:val="0"/>
              <w:autoSpaceDE/>
              <w:autoSpaceDN/>
              <w:bidi w:val="0"/>
              <w:adjustRightInd/>
              <w:snapToGrid/>
              <w:spacing w:line="440" w:lineRule="exact"/>
              <w:ind w:firstLine="574"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color w:val="auto"/>
                <w:kern w:val="2"/>
                <w:sz w:val="28"/>
                <w:szCs w:val="28"/>
                <w:shd w:val="clear" w:color="auto" w:fill="auto"/>
                <w:lang w:val="en-US" w:eastAsia="zh-CN" w:bidi="ar-SA"/>
              </w:rPr>
              <w:t>为了保证核心产品具有追溯性且保证质量，投标人为代理商投标响应的，提供生产企业出具的有效授权证明，得2分，若投标人为生产企业投标的（需提供相关证明文件）也得2分，其他不得分。</w:t>
            </w:r>
          </w:p>
        </w:tc>
      </w:tr>
      <w:tr w14:paraId="146F8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noWrap w:val="0"/>
            <w:vAlign w:val="top"/>
          </w:tcPr>
          <w:p w14:paraId="0561FA70">
            <w:pPr>
              <w:ind w:left="0" w:leftChars="0" w:firstLine="0" w:firstLineChars="0"/>
              <w:jc w:val="both"/>
              <w:rPr>
                <w:sz w:val="28"/>
                <w:szCs w:val="28"/>
              </w:rPr>
            </w:pPr>
            <w:r>
              <w:rPr>
                <w:rFonts w:hint="eastAsia"/>
                <w:sz w:val="28"/>
                <w:szCs w:val="28"/>
                <w:lang w:val="en-US" w:eastAsia="zh-CN"/>
              </w:rPr>
              <w:t>投标</w:t>
            </w:r>
            <w:r>
              <w:rPr>
                <w:sz w:val="28"/>
                <w:szCs w:val="28"/>
              </w:rPr>
              <w:t>报价</w:t>
            </w:r>
          </w:p>
        </w:tc>
        <w:tc>
          <w:tcPr>
            <w:tcW w:w="2376" w:type="dxa"/>
            <w:noWrap w:val="0"/>
            <w:vAlign w:val="top"/>
          </w:tcPr>
          <w:p w14:paraId="3AA18ABB">
            <w:pPr>
              <w:ind w:left="0" w:leftChars="0" w:firstLine="0" w:firstLineChars="0"/>
              <w:jc w:val="left"/>
              <w:rPr>
                <w:sz w:val="28"/>
                <w:szCs w:val="28"/>
              </w:rPr>
            </w:pPr>
            <w:r>
              <w:rPr>
                <w:sz w:val="28"/>
                <w:szCs w:val="28"/>
              </w:rPr>
              <w:t>投标报价得分 (</w:t>
            </w:r>
            <w:r>
              <w:rPr>
                <w:rFonts w:hint="eastAsia"/>
                <w:sz w:val="28"/>
                <w:szCs w:val="28"/>
                <w:lang w:val="en-US" w:eastAsia="zh-CN"/>
              </w:rPr>
              <w:t>3</w:t>
            </w:r>
            <w:r>
              <w:rPr>
                <w:sz w:val="28"/>
                <w:szCs w:val="28"/>
              </w:rPr>
              <w:t>0.0分)</w:t>
            </w:r>
          </w:p>
        </w:tc>
        <w:tc>
          <w:tcPr>
            <w:tcW w:w="6789" w:type="dxa"/>
            <w:noWrap w:val="0"/>
            <w:vAlign w:val="top"/>
          </w:tcPr>
          <w:p w14:paraId="2E723E54">
            <w:pPr>
              <w:keepNext w:val="0"/>
              <w:keepLines w:val="0"/>
              <w:pageBreakBefore w:val="0"/>
              <w:widowControl w:val="0"/>
              <w:kinsoku/>
              <w:wordWrap/>
              <w:overflowPunct/>
              <w:topLinePunct w:val="0"/>
              <w:autoSpaceDE/>
              <w:autoSpaceDN/>
              <w:bidi w:val="0"/>
              <w:adjustRightInd/>
              <w:snapToGrid/>
              <w:jc w:val="both"/>
              <w:textAlignment w:val="auto"/>
              <w:rPr>
                <w:rFonts w:hint="eastAsia" w:eastAsia="仿宋"/>
                <w:lang w:eastAsia="zh-CN"/>
              </w:rPr>
            </w:pPr>
            <w:r>
              <w:rPr>
                <w:rFonts w:hint="eastAsia" w:ascii="仿宋" w:hAnsi="仿宋" w:eastAsia="仿宋" w:cs="仿宋"/>
                <w:color w:val="auto"/>
                <w:kern w:val="2"/>
                <w:sz w:val="28"/>
                <w:szCs w:val="28"/>
                <w:shd w:val="clear" w:color="auto" w:fill="auto"/>
                <w:lang w:val="en-US" w:eastAsia="zh-CN" w:bidi="ar-SA"/>
              </w:rPr>
              <w:t>投标报价得分(30.0分)：投标报价得分＝（基准价/报价）×价格分值【注：（1）满足采购文件要求且投标价格最低的投标报价为评标基准价，最低报价不是中标的唯一依据。（2）投标报价=供应商的设备金额+两年内预估使用量的所需耗材金额（如所需耗材为专机专用的则按专机专用产品进行计算，如所需耗材为通用的则由供应商自行选择能适配所投设备的一种产品进行报价计算），两年内的耗材预估使用量约为600例。（3）上述耗材预估使用量仅为本项目评审价格计算用，并非采购人耗材使用量的承诺。若投标人不对耗材进行报价，采购人有权视为投标人对本项目报价响应缺漏，将导致投标无效。】</w:t>
            </w:r>
          </w:p>
        </w:tc>
      </w:tr>
      <w:tr w14:paraId="306D2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273" w:hRule="atLeast"/>
        </w:trPr>
        <w:tc>
          <w:tcPr>
            <w:tcW w:w="10018" w:type="dxa"/>
            <w:gridSpan w:val="3"/>
            <w:noWrap w:val="0"/>
            <w:vAlign w:val="top"/>
          </w:tcPr>
          <w:p w14:paraId="1C9CE97F">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theme="minorBidi"/>
                <w:b w:val="0"/>
                <w:bCs w:val="0"/>
                <w:color w:val="auto"/>
                <w:sz w:val="28"/>
                <w:szCs w:val="28"/>
              </w:rPr>
            </w:pPr>
            <w:r>
              <w:rPr>
                <w:rFonts w:hint="eastAsia" w:ascii="仿宋" w:hAnsi="仿宋" w:eastAsia="仿宋" w:cs="仿宋"/>
                <w:bCs w:val="0"/>
                <w:color w:val="auto"/>
                <w:spacing w:val="0"/>
                <w:kern w:val="2"/>
                <w:sz w:val="28"/>
                <w:szCs w:val="28"/>
                <w:shd w:val="clear" w:color="auto" w:fill="auto"/>
                <w:lang w:val="en-US" w:eastAsia="zh-CN" w:bidi="ar-SA"/>
              </w:rPr>
              <w:t>说明：打“★”号条款为实质性条款，若有任何一条负偏离或不满足则导致投标无效。</w:t>
            </w:r>
            <w:r>
              <w:rPr>
                <w:rFonts w:hint="eastAsia" w:ascii="仿宋" w:hAnsi="仿宋" w:eastAsia="仿宋" w:cs="仿宋"/>
                <w:bCs w:val="0"/>
                <w:color w:val="auto"/>
                <w:spacing w:val="0"/>
                <w:kern w:val="2"/>
                <w:sz w:val="28"/>
                <w:szCs w:val="28"/>
                <w:shd w:val="clear" w:color="auto" w:fill="auto"/>
                <w:lang w:val="en-US" w:eastAsia="zh-CN" w:bidi="ar-SA"/>
              </w:rPr>
              <w:br w:type="textWrapping"/>
            </w:r>
            <w:r>
              <w:rPr>
                <w:rFonts w:hint="eastAsia" w:ascii="仿宋" w:hAnsi="仿宋" w:eastAsia="仿宋" w:cs="仿宋"/>
                <w:bCs w:val="0"/>
                <w:color w:val="auto"/>
                <w:spacing w:val="0"/>
                <w:kern w:val="2"/>
                <w:sz w:val="28"/>
                <w:szCs w:val="28"/>
                <w:shd w:val="clear" w:color="auto" w:fill="auto"/>
                <w:lang w:val="en-US" w:eastAsia="zh-CN" w:bidi="ar-SA"/>
              </w:rPr>
              <w:t xml:space="preserve">     打“▲”号条款为重要技术参数，若有部分“▲”条款未响应或不满足，将导致其响应性评审加重扣分，但不作为无效投标条款。</w:t>
            </w:r>
          </w:p>
        </w:tc>
      </w:tr>
    </w:tbl>
    <w:p w14:paraId="57D293D2">
      <w:pPr>
        <w:pStyle w:val="15"/>
        <w:spacing w:before="0" w:after="0" w:line="240" w:lineRule="auto"/>
        <w:ind w:left="0" w:leftChars="0" w:firstLine="0" w:firstLineChars="0"/>
        <w:rPr>
          <w:rFonts w:hint="eastAsia" w:ascii="仿宋" w:hAnsi="仿宋" w:eastAsia="仿宋" w:cs="Helvetica Neue"/>
          <w:i/>
          <w:iCs/>
          <w:kern w:val="0"/>
          <w:sz w:val="28"/>
          <w:szCs w:val="28"/>
          <w:lang w:eastAsia="zh-CN"/>
        </w:rPr>
      </w:pPr>
      <w:bookmarkStart w:id="1" w:name="_GoBack"/>
      <w:bookmarkEnd w:id="1"/>
    </w:p>
    <w:sectPr>
      <w:footerReference r:id="rId5" w:type="default"/>
      <w:footerReference r:id="rId6" w:type="even"/>
      <w:pgSz w:w="11906" w:h="16838"/>
      <w:pgMar w:top="2098" w:right="1474" w:bottom="1984" w:left="1587" w:header="851" w:footer="1389" w:gutter="0"/>
      <w:cols w:space="0" w:num="1"/>
      <w:docGrid w:type="linesAndChars" w:linePitch="589" w:charSpace="1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368"/>
    </w:sdtPr>
    <w:sdtContent>
      <w:p w14:paraId="6999695F">
        <w:pPr>
          <w:pStyle w:val="7"/>
          <w:ind w:right="320" w:rightChars="100" w:firstLine="0"/>
          <w:jc w:val="right"/>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15</w:t>
        </w:r>
        <w:r>
          <w:rPr>
            <w:rFonts w:ascii="宋体" w:hAnsi="宋体" w:eastAsia="宋体"/>
            <w:sz w:val="28"/>
            <w:szCs w:val="28"/>
          </w:rPr>
          <w:fldChar w:fldCharType="end"/>
        </w:r>
        <w:r>
          <w:rPr>
            <w:rFonts w:hint="eastAsia" w:ascii="宋体" w:hAnsi="宋体" w:eastAsia="宋体"/>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9E3B">
    <w:pPr>
      <w:pStyle w:val="7"/>
      <w:ind w:left="320" w:leftChars="100" w:firstLine="0"/>
    </w:pPr>
    <w:r>
      <w:rPr>
        <w:rFonts w:hint="eastAsia" w:ascii="宋体" w:hAnsi="宋体" w:eastAsia="宋体"/>
        <w:sz w:val="28"/>
        <w:szCs w:val="28"/>
      </w:rPr>
      <w:t xml:space="preserve">— </w:t>
    </w:r>
    <w:sdt>
      <w:sdtPr>
        <w:rPr>
          <w:rFonts w:ascii="宋体" w:hAnsi="宋体" w:eastAsia="宋体"/>
          <w:sz w:val="28"/>
          <w:szCs w:val="28"/>
        </w:rPr>
        <w:id w:val="147454186"/>
      </w:sdtPr>
      <w:sdtEndPr>
        <w:rPr>
          <w:rFonts w:ascii="Times New Roman" w:hAnsi="Times New Roman" w:eastAsia="仿宋_GB2312"/>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10</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4B1BD6"/>
    <w:multiLevelType w:val="singleLevel"/>
    <w:tmpl w:val="C34B1BD6"/>
    <w:lvl w:ilvl="0" w:tentative="0">
      <w:start w:val="16"/>
      <w:numFmt w:val="decimal"/>
      <w:lvlText w:val="%1."/>
      <w:lvlJc w:val="left"/>
      <w:pPr>
        <w:tabs>
          <w:tab w:val="left" w:pos="312"/>
        </w:tabs>
      </w:pPr>
    </w:lvl>
  </w:abstractNum>
  <w:abstractNum w:abstractNumId="1">
    <w:nsid w:val="FE466310"/>
    <w:multiLevelType w:val="singleLevel"/>
    <w:tmpl w:val="FE466310"/>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64"/>
  <w:drawingGridVerticalSpacing w:val="29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0NzQ0NmNmYjlhYmM0NDBmZTg1MDM0MTljOTVkODIifQ=="/>
  </w:docVars>
  <w:rsids>
    <w:rsidRoot w:val="009A59A7"/>
    <w:rsid w:val="0000008E"/>
    <w:rsid w:val="00000136"/>
    <w:rsid w:val="000007A8"/>
    <w:rsid w:val="00006C47"/>
    <w:rsid w:val="000076DA"/>
    <w:rsid w:val="0001143F"/>
    <w:rsid w:val="00013177"/>
    <w:rsid w:val="0002365E"/>
    <w:rsid w:val="0002613A"/>
    <w:rsid w:val="00026AD8"/>
    <w:rsid w:val="00030F1A"/>
    <w:rsid w:val="00031572"/>
    <w:rsid w:val="00034C57"/>
    <w:rsid w:val="00052DFD"/>
    <w:rsid w:val="000541F4"/>
    <w:rsid w:val="00054B7F"/>
    <w:rsid w:val="00076578"/>
    <w:rsid w:val="00081243"/>
    <w:rsid w:val="00082650"/>
    <w:rsid w:val="00087029"/>
    <w:rsid w:val="0008752A"/>
    <w:rsid w:val="00092FC1"/>
    <w:rsid w:val="000A1C14"/>
    <w:rsid w:val="000A36F5"/>
    <w:rsid w:val="000A3F79"/>
    <w:rsid w:val="000B0F95"/>
    <w:rsid w:val="000B1C44"/>
    <w:rsid w:val="000B40A0"/>
    <w:rsid w:val="000B4A23"/>
    <w:rsid w:val="000B4E35"/>
    <w:rsid w:val="000B5C73"/>
    <w:rsid w:val="000C18DF"/>
    <w:rsid w:val="000C1EB1"/>
    <w:rsid w:val="000C4553"/>
    <w:rsid w:val="000D7232"/>
    <w:rsid w:val="000E57D1"/>
    <w:rsid w:val="000F632B"/>
    <w:rsid w:val="0010292A"/>
    <w:rsid w:val="0010309F"/>
    <w:rsid w:val="00103817"/>
    <w:rsid w:val="00103B7E"/>
    <w:rsid w:val="00120C2B"/>
    <w:rsid w:val="00120FCC"/>
    <w:rsid w:val="00122162"/>
    <w:rsid w:val="0012262D"/>
    <w:rsid w:val="00123214"/>
    <w:rsid w:val="001244C5"/>
    <w:rsid w:val="001302BF"/>
    <w:rsid w:val="00130F95"/>
    <w:rsid w:val="001315C1"/>
    <w:rsid w:val="001325CD"/>
    <w:rsid w:val="001344AF"/>
    <w:rsid w:val="00141299"/>
    <w:rsid w:val="00141842"/>
    <w:rsid w:val="00143D26"/>
    <w:rsid w:val="001440DF"/>
    <w:rsid w:val="00145F9F"/>
    <w:rsid w:val="00146A53"/>
    <w:rsid w:val="00155249"/>
    <w:rsid w:val="00156673"/>
    <w:rsid w:val="0015713B"/>
    <w:rsid w:val="001601ED"/>
    <w:rsid w:val="00161113"/>
    <w:rsid w:val="00163947"/>
    <w:rsid w:val="00163FFE"/>
    <w:rsid w:val="0018104B"/>
    <w:rsid w:val="0018366B"/>
    <w:rsid w:val="00193F88"/>
    <w:rsid w:val="00194029"/>
    <w:rsid w:val="00194823"/>
    <w:rsid w:val="00195EBA"/>
    <w:rsid w:val="00196EDA"/>
    <w:rsid w:val="00197854"/>
    <w:rsid w:val="001A24E6"/>
    <w:rsid w:val="001A4447"/>
    <w:rsid w:val="001B1333"/>
    <w:rsid w:val="001B1B71"/>
    <w:rsid w:val="001B2A68"/>
    <w:rsid w:val="001C4EA1"/>
    <w:rsid w:val="001C7344"/>
    <w:rsid w:val="001D0A86"/>
    <w:rsid w:val="001D277D"/>
    <w:rsid w:val="001D57C9"/>
    <w:rsid w:val="001E66AD"/>
    <w:rsid w:val="001E748A"/>
    <w:rsid w:val="001E75F5"/>
    <w:rsid w:val="001F1E42"/>
    <w:rsid w:val="001F2B01"/>
    <w:rsid w:val="001F61A3"/>
    <w:rsid w:val="00201605"/>
    <w:rsid w:val="00201B09"/>
    <w:rsid w:val="0020337F"/>
    <w:rsid w:val="00205D93"/>
    <w:rsid w:val="00211325"/>
    <w:rsid w:val="00213CF6"/>
    <w:rsid w:val="00217EB6"/>
    <w:rsid w:val="0022025E"/>
    <w:rsid w:val="0022087F"/>
    <w:rsid w:val="002235DD"/>
    <w:rsid w:val="00225074"/>
    <w:rsid w:val="00225A40"/>
    <w:rsid w:val="00225D74"/>
    <w:rsid w:val="002263DC"/>
    <w:rsid w:val="00227FF5"/>
    <w:rsid w:val="0024036D"/>
    <w:rsid w:val="002414CF"/>
    <w:rsid w:val="00243695"/>
    <w:rsid w:val="0025147A"/>
    <w:rsid w:val="00257A98"/>
    <w:rsid w:val="00257BBF"/>
    <w:rsid w:val="0026359B"/>
    <w:rsid w:val="00263A16"/>
    <w:rsid w:val="00265CB5"/>
    <w:rsid w:val="00271D88"/>
    <w:rsid w:val="0027272D"/>
    <w:rsid w:val="00273DFA"/>
    <w:rsid w:val="002751DD"/>
    <w:rsid w:val="00275BDD"/>
    <w:rsid w:val="00277D7F"/>
    <w:rsid w:val="00285A10"/>
    <w:rsid w:val="00287327"/>
    <w:rsid w:val="0029452B"/>
    <w:rsid w:val="002A35A5"/>
    <w:rsid w:val="002B0637"/>
    <w:rsid w:val="002B0DC8"/>
    <w:rsid w:val="002B16C9"/>
    <w:rsid w:val="002B39A4"/>
    <w:rsid w:val="002B571C"/>
    <w:rsid w:val="002B66FD"/>
    <w:rsid w:val="002C0DD6"/>
    <w:rsid w:val="002C6A1A"/>
    <w:rsid w:val="002C7F54"/>
    <w:rsid w:val="002D7395"/>
    <w:rsid w:val="002E237F"/>
    <w:rsid w:val="002E26D3"/>
    <w:rsid w:val="002E412B"/>
    <w:rsid w:val="002E41F5"/>
    <w:rsid w:val="002E61B9"/>
    <w:rsid w:val="00301D14"/>
    <w:rsid w:val="00304B70"/>
    <w:rsid w:val="0030630E"/>
    <w:rsid w:val="00306A5A"/>
    <w:rsid w:val="003118DE"/>
    <w:rsid w:val="00317450"/>
    <w:rsid w:val="00317B17"/>
    <w:rsid w:val="00321DFD"/>
    <w:rsid w:val="00324D61"/>
    <w:rsid w:val="00331269"/>
    <w:rsid w:val="00331765"/>
    <w:rsid w:val="00335706"/>
    <w:rsid w:val="003462FA"/>
    <w:rsid w:val="0035436B"/>
    <w:rsid w:val="00354B6F"/>
    <w:rsid w:val="00354BBF"/>
    <w:rsid w:val="00357D77"/>
    <w:rsid w:val="0036243B"/>
    <w:rsid w:val="003627A5"/>
    <w:rsid w:val="00363973"/>
    <w:rsid w:val="00363C52"/>
    <w:rsid w:val="00365D7C"/>
    <w:rsid w:val="00367A87"/>
    <w:rsid w:val="00373D66"/>
    <w:rsid w:val="00375165"/>
    <w:rsid w:val="00385974"/>
    <w:rsid w:val="00396D38"/>
    <w:rsid w:val="003975FC"/>
    <w:rsid w:val="003A2354"/>
    <w:rsid w:val="003A287F"/>
    <w:rsid w:val="003A3428"/>
    <w:rsid w:val="003A6B84"/>
    <w:rsid w:val="003A7FDB"/>
    <w:rsid w:val="003B15FA"/>
    <w:rsid w:val="003B6F29"/>
    <w:rsid w:val="003C06FD"/>
    <w:rsid w:val="003C25CA"/>
    <w:rsid w:val="003C778E"/>
    <w:rsid w:val="003D0D49"/>
    <w:rsid w:val="003E3E9A"/>
    <w:rsid w:val="003E6D58"/>
    <w:rsid w:val="003E7246"/>
    <w:rsid w:val="003F1C9C"/>
    <w:rsid w:val="003F292B"/>
    <w:rsid w:val="003F2E03"/>
    <w:rsid w:val="004025CD"/>
    <w:rsid w:val="00403BED"/>
    <w:rsid w:val="0040411E"/>
    <w:rsid w:val="004052B2"/>
    <w:rsid w:val="00407D3F"/>
    <w:rsid w:val="00411B07"/>
    <w:rsid w:val="00412D70"/>
    <w:rsid w:val="00414DD2"/>
    <w:rsid w:val="0042121D"/>
    <w:rsid w:val="004258B3"/>
    <w:rsid w:val="00433431"/>
    <w:rsid w:val="0043482F"/>
    <w:rsid w:val="004462BF"/>
    <w:rsid w:val="0044771C"/>
    <w:rsid w:val="0045167E"/>
    <w:rsid w:val="004542D9"/>
    <w:rsid w:val="004555DA"/>
    <w:rsid w:val="0045705A"/>
    <w:rsid w:val="00462E0E"/>
    <w:rsid w:val="00463933"/>
    <w:rsid w:val="004743AB"/>
    <w:rsid w:val="00475E05"/>
    <w:rsid w:val="00476204"/>
    <w:rsid w:val="004762A8"/>
    <w:rsid w:val="00477D13"/>
    <w:rsid w:val="00481685"/>
    <w:rsid w:val="004849D9"/>
    <w:rsid w:val="00485C46"/>
    <w:rsid w:val="00493C16"/>
    <w:rsid w:val="00493F4A"/>
    <w:rsid w:val="00494368"/>
    <w:rsid w:val="00494B9F"/>
    <w:rsid w:val="004A044A"/>
    <w:rsid w:val="004A6E29"/>
    <w:rsid w:val="004B144E"/>
    <w:rsid w:val="004B5CDD"/>
    <w:rsid w:val="004B71F6"/>
    <w:rsid w:val="004B7AFA"/>
    <w:rsid w:val="004C01E3"/>
    <w:rsid w:val="004C08BF"/>
    <w:rsid w:val="004C0BB3"/>
    <w:rsid w:val="004D4DC6"/>
    <w:rsid w:val="004D5105"/>
    <w:rsid w:val="004D6964"/>
    <w:rsid w:val="004F04AA"/>
    <w:rsid w:val="004F2AC4"/>
    <w:rsid w:val="004F4C25"/>
    <w:rsid w:val="004F5211"/>
    <w:rsid w:val="005022A4"/>
    <w:rsid w:val="00511147"/>
    <w:rsid w:val="00514FB2"/>
    <w:rsid w:val="00516D24"/>
    <w:rsid w:val="00517059"/>
    <w:rsid w:val="00517202"/>
    <w:rsid w:val="00522C2F"/>
    <w:rsid w:val="0052575B"/>
    <w:rsid w:val="00532801"/>
    <w:rsid w:val="00535B02"/>
    <w:rsid w:val="00541E27"/>
    <w:rsid w:val="0054519E"/>
    <w:rsid w:val="00556000"/>
    <w:rsid w:val="00561A2B"/>
    <w:rsid w:val="00562309"/>
    <w:rsid w:val="00565508"/>
    <w:rsid w:val="00565873"/>
    <w:rsid w:val="005669DE"/>
    <w:rsid w:val="005720F7"/>
    <w:rsid w:val="005733B5"/>
    <w:rsid w:val="00575F65"/>
    <w:rsid w:val="005769D9"/>
    <w:rsid w:val="0057702D"/>
    <w:rsid w:val="00577BC2"/>
    <w:rsid w:val="00583A4F"/>
    <w:rsid w:val="00583CA1"/>
    <w:rsid w:val="00590D69"/>
    <w:rsid w:val="00591462"/>
    <w:rsid w:val="005A07A6"/>
    <w:rsid w:val="005A64D4"/>
    <w:rsid w:val="005A773E"/>
    <w:rsid w:val="005B3C9C"/>
    <w:rsid w:val="005B610C"/>
    <w:rsid w:val="005B6A5F"/>
    <w:rsid w:val="005C6DE6"/>
    <w:rsid w:val="005D1C18"/>
    <w:rsid w:val="005D66EC"/>
    <w:rsid w:val="005E77C3"/>
    <w:rsid w:val="005E7A6D"/>
    <w:rsid w:val="005F0B80"/>
    <w:rsid w:val="005F5EB3"/>
    <w:rsid w:val="005F6FA7"/>
    <w:rsid w:val="00602698"/>
    <w:rsid w:val="006031DD"/>
    <w:rsid w:val="006033F3"/>
    <w:rsid w:val="006033F4"/>
    <w:rsid w:val="00607155"/>
    <w:rsid w:val="00607359"/>
    <w:rsid w:val="00611496"/>
    <w:rsid w:val="006162E4"/>
    <w:rsid w:val="00616AAD"/>
    <w:rsid w:val="006221EF"/>
    <w:rsid w:val="00622D18"/>
    <w:rsid w:val="006242D9"/>
    <w:rsid w:val="00625C7A"/>
    <w:rsid w:val="00626C8C"/>
    <w:rsid w:val="00630355"/>
    <w:rsid w:val="00631FE5"/>
    <w:rsid w:val="00633CE2"/>
    <w:rsid w:val="00634A37"/>
    <w:rsid w:val="0065210E"/>
    <w:rsid w:val="00654F7F"/>
    <w:rsid w:val="0065726F"/>
    <w:rsid w:val="006573B3"/>
    <w:rsid w:val="00657FE3"/>
    <w:rsid w:val="00661709"/>
    <w:rsid w:val="00662F16"/>
    <w:rsid w:val="00664884"/>
    <w:rsid w:val="00670CE9"/>
    <w:rsid w:val="00672886"/>
    <w:rsid w:val="00672B3F"/>
    <w:rsid w:val="00673408"/>
    <w:rsid w:val="00676537"/>
    <w:rsid w:val="0067711A"/>
    <w:rsid w:val="00677F80"/>
    <w:rsid w:val="00681572"/>
    <w:rsid w:val="0068181F"/>
    <w:rsid w:val="00681CBA"/>
    <w:rsid w:val="0068467D"/>
    <w:rsid w:val="0068678D"/>
    <w:rsid w:val="006870CE"/>
    <w:rsid w:val="006931E5"/>
    <w:rsid w:val="006A3C5A"/>
    <w:rsid w:val="006A3E39"/>
    <w:rsid w:val="006B00BC"/>
    <w:rsid w:val="006B10A0"/>
    <w:rsid w:val="006B1C21"/>
    <w:rsid w:val="006B5BD9"/>
    <w:rsid w:val="006B6D32"/>
    <w:rsid w:val="006C50BA"/>
    <w:rsid w:val="006C7E9A"/>
    <w:rsid w:val="006D04D8"/>
    <w:rsid w:val="006D68CE"/>
    <w:rsid w:val="006E4287"/>
    <w:rsid w:val="006E4C8E"/>
    <w:rsid w:val="006E7225"/>
    <w:rsid w:val="006F5FEB"/>
    <w:rsid w:val="00701D5E"/>
    <w:rsid w:val="0070270D"/>
    <w:rsid w:val="00702963"/>
    <w:rsid w:val="00703CFC"/>
    <w:rsid w:val="00703F4D"/>
    <w:rsid w:val="0070775C"/>
    <w:rsid w:val="007101E9"/>
    <w:rsid w:val="0071150D"/>
    <w:rsid w:val="00711A06"/>
    <w:rsid w:val="00720675"/>
    <w:rsid w:val="0072294B"/>
    <w:rsid w:val="00731AA4"/>
    <w:rsid w:val="00736108"/>
    <w:rsid w:val="00737005"/>
    <w:rsid w:val="007372CD"/>
    <w:rsid w:val="007422EF"/>
    <w:rsid w:val="007444AE"/>
    <w:rsid w:val="0074764A"/>
    <w:rsid w:val="00747BBE"/>
    <w:rsid w:val="00747CAC"/>
    <w:rsid w:val="00752B24"/>
    <w:rsid w:val="00764E54"/>
    <w:rsid w:val="0076752D"/>
    <w:rsid w:val="00767BAC"/>
    <w:rsid w:val="0077065B"/>
    <w:rsid w:val="00774AD8"/>
    <w:rsid w:val="00776BEE"/>
    <w:rsid w:val="007876D7"/>
    <w:rsid w:val="00790882"/>
    <w:rsid w:val="00792A55"/>
    <w:rsid w:val="00797A50"/>
    <w:rsid w:val="007A0181"/>
    <w:rsid w:val="007A21EE"/>
    <w:rsid w:val="007B2492"/>
    <w:rsid w:val="007B3BB0"/>
    <w:rsid w:val="007C1B64"/>
    <w:rsid w:val="007C2CBE"/>
    <w:rsid w:val="007C420A"/>
    <w:rsid w:val="007C5AA2"/>
    <w:rsid w:val="007D1022"/>
    <w:rsid w:val="007D2A49"/>
    <w:rsid w:val="007D7699"/>
    <w:rsid w:val="007E1CA9"/>
    <w:rsid w:val="007E29C5"/>
    <w:rsid w:val="007E49F3"/>
    <w:rsid w:val="007E51BC"/>
    <w:rsid w:val="007E522C"/>
    <w:rsid w:val="007E7E57"/>
    <w:rsid w:val="007F47A4"/>
    <w:rsid w:val="0080214E"/>
    <w:rsid w:val="0080231C"/>
    <w:rsid w:val="00804542"/>
    <w:rsid w:val="00806170"/>
    <w:rsid w:val="008117FC"/>
    <w:rsid w:val="00817134"/>
    <w:rsid w:val="00821A2F"/>
    <w:rsid w:val="0082281C"/>
    <w:rsid w:val="00822D3F"/>
    <w:rsid w:val="00823456"/>
    <w:rsid w:val="00824F06"/>
    <w:rsid w:val="008257FB"/>
    <w:rsid w:val="00831957"/>
    <w:rsid w:val="008355A3"/>
    <w:rsid w:val="008355D1"/>
    <w:rsid w:val="00836BD2"/>
    <w:rsid w:val="00840DB9"/>
    <w:rsid w:val="00841E40"/>
    <w:rsid w:val="008421C6"/>
    <w:rsid w:val="008455BF"/>
    <w:rsid w:val="00846983"/>
    <w:rsid w:val="008514AB"/>
    <w:rsid w:val="0085448E"/>
    <w:rsid w:val="00860BA1"/>
    <w:rsid w:val="0086615A"/>
    <w:rsid w:val="00866CE3"/>
    <w:rsid w:val="0087079A"/>
    <w:rsid w:val="00870ACA"/>
    <w:rsid w:val="00872168"/>
    <w:rsid w:val="00873C2D"/>
    <w:rsid w:val="00883868"/>
    <w:rsid w:val="008870BE"/>
    <w:rsid w:val="00890177"/>
    <w:rsid w:val="00890A06"/>
    <w:rsid w:val="00890A16"/>
    <w:rsid w:val="00895291"/>
    <w:rsid w:val="008A219A"/>
    <w:rsid w:val="008A4E9B"/>
    <w:rsid w:val="008A7BC0"/>
    <w:rsid w:val="008B16B8"/>
    <w:rsid w:val="008C1CBF"/>
    <w:rsid w:val="008C3B7B"/>
    <w:rsid w:val="008C40C3"/>
    <w:rsid w:val="008D1FDF"/>
    <w:rsid w:val="008D5108"/>
    <w:rsid w:val="008E22F4"/>
    <w:rsid w:val="008E2AF7"/>
    <w:rsid w:val="008E3551"/>
    <w:rsid w:val="008E477E"/>
    <w:rsid w:val="008E6045"/>
    <w:rsid w:val="008F2507"/>
    <w:rsid w:val="008F3CB1"/>
    <w:rsid w:val="0090112A"/>
    <w:rsid w:val="00901797"/>
    <w:rsid w:val="009028FC"/>
    <w:rsid w:val="00903D09"/>
    <w:rsid w:val="00905AF1"/>
    <w:rsid w:val="0090601E"/>
    <w:rsid w:val="00906ECA"/>
    <w:rsid w:val="0090750B"/>
    <w:rsid w:val="00914C9E"/>
    <w:rsid w:val="00914E02"/>
    <w:rsid w:val="00921E9A"/>
    <w:rsid w:val="009239D6"/>
    <w:rsid w:val="00931CBE"/>
    <w:rsid w:val="00933ACA"/>
    <w:rsid w:val="00934C4D"/>
    <w:rsid w:val="00935FA0"/>
    <w:rsid w:val="00937652"/>
    <w:rsid w:val="00937E9A"/>
    <w:rsid w:val="00947FB2"/>
    <w:rsid w:val="00950B52"/>
    <w:rsid w:val="0095209B"/>
    <w:rsid w:val="00955866"/>
    <w:rsid w:val="00956A6F"/>
    <w:rsid w:val="0096213C"/>
    <w:rsid w:val="009625A6"/>
    <w:rsid w:val="00964A6F"/>
    <w:rsid w:val="00965F2D"/>
    <w:rsid w:val="00966500"/>
    <w:rsid w:val="009705DE"/>
    <w:rsid w:val="009707AA"/>
    <w:rsid w:val="0097186C"/>
    <w:rsid w:val="00971977"/>
    <w:rsid w:val="00977775"/>
    <w:rsid w:val="0098342E"/>
    <w:rsid w:val="00986C96"/>
    <w:rsid w:val="009875F5"/>
    <w:rsid w:val="0099151D"/>
    <w:rsid w:val="0099486D"/>
    <w:rsid w:val="00995588"/>
    <w:rsid w:val="00995B22"/>
    <w:rsid w:val="0099655C"/>
    <w:rsid w:val="009A27A0"/>
    <w:rsid w:val="009A3686"/>
    <w:rsid w:val="009A3A41"/>
    <w:rsid w:val="009A59A7"/>
    <w:rsid w:val="009B115C"/>
    <w:rsid w:val="009C130C"/>
    <w:rsid w:val="009C2AB9"/>
    <w:rsid w:val="009C469B"/>
    <w:rsid w:val="009C5EDC"/>
    <w:rsid w:val="009C7B78"/>
    <w:rsid w:val="009D0710"/>
    <w:rsid w:val="009D3D3A"/>
    <w:rsid w:val="009D5169"/>
    <w:rsid w:val="009E42B6"/>
    <w:rsid w:val="009E60D1"/>
    <w:rsid w:val="009F3634"/>
    <w:rsid w:val="009F424B"/>
    <w:rsid w:val="009F66FB"/>
    <w:rsid w:val="009F7945"/>
    <w:rsid w:val="00A01541"/>
    <w:rsid w:val="00A0484A"/>
    <w:rsid w:val="00A07C9F"/>
    <w:rsid w:val="00A122B9"/>
    <w:rsid w:val="00A12CFD"/>
    <w:rsid w:val="00A20822"/>
    <w:rsid w:val="00A26018"/>
    <w:rsid w:val="00A31026"/>
    <w:rsid w:val="00A32C7D"/>
    <w:rsid w:val="00A32EEE"/>
    <w:rsid w:val="00A34428"/>
    <w:rsid w:val="00A34B0E"/>
    <w:rsid w:val="00A36E92"/>
    <w:rsid w:val="00A42021"/>
    <w:rsid w:val="00A4286A"/>
    <w:rsid w:val="00A47E22"/>
    <w:rsid w:val="00A5186C"/>
    <w:rsid w:val="00A53370"/>
    <w:rsid w:val="00A572AE"/>
    <w:rsid w:val="00A573A1"/>
    <w:rsid w:val="00A722DD"/>
    <w:rsid w:val="00A7254F"/>
    <w:rsid w:val="00A76BE8"/>
    <w:rsid w:val="00A7720E"/>
    <w:rsid w:val="00A829C6"/>
    <w:rsid w:val="00A83EA1"/>
    <w:rsid w:val="00A85C68"/>
    <w:rsid w:val="00A86451"/>
    <w:rsid w:val="00A920E8"/>
    <w:rsid w:val="00A979D7"/>
    <w:rsid w:val="00AA1E13"/>
    <w:rsid w:val="00AA7181"/>
    <w:rsid w:val="00AB064B"/>
    <w:rsid w:val="00AB3C9F"/>
    <w:rsid w:val="00AB3CEC"/>
    <w:rsid w:val="00AB799F"/>
    <w:rsid w:val="00AB7B01"/>
    <w:rsid w:val="00AC1284"/>
    <w:rsid w:val="00AC2860"/>
    <w:rsid w:val="00AC49A3"/>
    <w:rsid w:val="00AC57BB"/>
    <w:rsid w:val="00AD473A"/>
    <w:rsid w:val="00AD4A3A"/>
    <w:rsid w:val="00AE00EC"/>
    <w:rsid w:val="00AE275F"/>
    <w:rsid w:val="00AE54CD"/>
    <w:rsid w:val="00AE5503"/>
    <w:rsid w:val="00AE6573"/>
    <w:rsid w:val="00AF0B90"/>
    <w:rsid w:val="00AF0F69"/>
    <w:rsid w:val="00AF178D"/>
    <w:rsid w:val="00AF5B39"/>
    <w:rsid w:val="00AF68C9"/>
    <w:rsid w:val="00AF6C0C"/>
    <w:rsid w:val="00B00057"/>
    <w:rsid w:val="00B07063"/>
    <w:rsid w:val="00B071A8"/>
    <w:rsid w:val="00B101F9"/>
    <w:rsid w:val="00B210F5"/>
    <w:rsid w:val="00B26BD2"/>
    <w:rsid w:val="00B27EC2"/>
    <w:rsid w:val="00B30CCB"/>
    <w:rsid w:val="00B310F1"/>
    <w:rsid w:val="00B3136A"/>
    <w:rsid w:val="00B3721D"/>
    <w:rsid w:val="00B404B3"/>
    <w:rsid w:val="00B412D6"/>
    <w:rsid w:val="00B4697A"/>
    <w:rsid w:val="00B61BB1"/>
    <w:rsid w:val="00B61F91"/>
    <w:rsid w:val="00B62DE4"/>
    <w:rsid w:val="00B62EF9"/>
    <w:rsid w:val="00B63D52"/>
    <w:rsid w:val="00B642DB"/>
    <w:rsid w:val="00B6581E"/>
    <w:rsid w:val="00B65CC9"/>
    <w:rsid w:val="00B676A8"/>
    <w:rsid w:val="00B75C5B"/>
    <w:rsid w:val="00B83E60"/>
    <w:rsid w:val="00B855FE"/>
    <w:rsid w:val="00B865D5"/>
    <w:rsid w:val="00B904C0"/>
    <w:rsid w:val="00B92702"/>
    <w:rsid w:val="00B96F67"/>
    <w:rsid w:val="00BA0BAF"/>
    <w:rsid w:val="00BA336C"/>
    <w:rsid w:val="00BA718B"/>
    <w:rsid w:val="00BB0392"/>
    <w:rsid w:val="00BB305A"/>
    <w:rsid w:val="00BB6BD2"/>
    <w:rsid w:val="00BC37B1"/>
    <w:rsid w:val="00BC3BDD"/>
    <w:rsid w:val="00BC51F9"/>
    <w:rsid w:val="00BD1F7F"/>
    <w:rsid w:val="00BD5317"/>
    <w:rsid w:val="00BD53D7"/>
    <w:rsid w:val="00BE49AC"/>
    <w:rsid w:val="00BE67C0"/>
    <w:rsid w:val="00BE7445"/>
    <w:rsid w:val="00BF0CD4"/>
    <w:rsid w:val="00BF364B"/>
    <w:rsid w:val="00BF59C7"/>
    <w:rsid w:val="00BF5B05"/>
    <w:rsid w:val="00C0247A"/>
    <w:rsid w:val="00C03513"/>
    <w:rsid w:val="00C05C1B"/>
    <w:rsid w:val="00C06A72"/>
    <w:rsid w:val="00C11A6C"/>
    <w:rsid w:val="00C16EE1"/>
    <w:rsid w:val="00C22DA3"/>
    <w:rsid w:val="00C31042"/>
    <w:rsid w:val="00C32EB4"/>
    <w:rsid w:val="00C41E92"/>
    <w:rsid w:val="00C424E3"/>
    <w:rsid w:val="00C44EAE"/>
    <w:rsid w:val="00C46F28"/>
    <w:rsid w:val="00C52E25"/>
    <w:rsid w:val="00C56397"/>
    <w:rsid w:val="00C61AE0"/>
    <w:rsid w:val="00C625BC"/>
    <w:rsid w:val="00C67A69"/>
    <w:rsid w:val="00C67D0D"/>
    <w:rsid w:val="00C70D30"/>
    <w:rsid w:val="00C72DBF"/>
    <w:rsid w:val="00C82B74"/>
    <w:rsid w:val="00C83D28"/>
    <w:rsid w:val="00C85264"/>
    <w:rsid w:val="00C943AD"/>
    <w:rsid w:val="00C94749"/>
    <w:rsid w:val="00C96837"/>
    <w:rsid w:val="00CA2785"/>
    <w:rsid w:val="00CA2FC1"/>
    <w:rsid w:val="00CA3407"/>
    <w:rsid w:val="00CA3476"/>
    <w:rsid w:val="00CA4050"/>
    <w:rsid w:val="00CA59FD"/>
    <w:rsid w:val="00CA6EA8"/>
    <w:rsid w:val="00CB3966"/>
    <w:rsid w:val="00CB3F71"/>
    <w:rsid w:val="00CB5A7B"/>
    <w:rsid w:val="00CB77E4"/>
    <w:rsid w:val="00CC405B"/>
    <w:rsid w:val="00CC754C"/>
    <w:rsid w:val="00CD47E8"/>
    <w:rsid w:val="00CD6EA0"/>
    <w:rsid w:val="00CE0364"/>
    <w:rsid w:val="00CE27BE"/>
    <w:rsid w:val="00CE6047"/>
    <w:rsid w:val="00CE65D9"/>
    <w:rsid w:val="00CE6B4C"/>
    <w:rsid w:val="00CF1750"/>
    <w:rsid w:val="00CF26AB"/>
    <w:rsid w:val="00CF2DD4"/>
    <w:rsid w:val="00CF4116"/>
    <w:rsid w:val="00CF5C4C"/>
    <w:rsid w:val="00CF6133"/>
    <w:rsid w:val="00CF6EBF"/>
    <w:rsid w:val="00CF7E3E"/>
    <w:rsid w:val="00D00574"/>
    <w:rsid w:val="00D016FA"/>
    <w:rsid w:val="00D02494"/>
    <w:rsid w:val="00D06817"/>
    <w:rsid w:val="00D15145"/>
    <w:rsid w:val="00D162A4"/>
    <w:rsid w:val="00D20BA2"/>
    <w:rsid w:val="00D21525"/>
    <w:rsid w:val="00D27A00"/>
    <w:rsid w:val="00D3093F"/>
    <w:rsid w:val="00D31025"/>
    <w:rsid w:val="00D31AED"/>
    <w:rsid w:val="00D32395"/>
    <w:rsid w:val="00D36F3B"/>
    <w:rsid w:val="00D435CC"/>
    <w:rsid w:val="00D46F8A"/>
    <w:rsid w:val="00D5207D"/>
    <w:rsid w:val="00D526E1"/>
    <w:rsid w:val="00D7663F"/>
    <w:rsid w:val="00D84559"/>
    <w:rsid w:val="00D85BBF"/>
    <w:rsid w:val="00D9093C"/>
    <w:rsid w:val="00DA0D5B"/>
    <w:rsid w:val="00DA319A"/>
    <w:rsid w:val="00DA4DF7"/>
    <w:rsid w:val="00DA5FEC"/>
    <w:rsid w:val="00DB01F6"/>
    <w:rsid w:val="00DB05E6"/>
    <w:rsid w:val="00DB06ED"/>
    <w:rsid w:val="00DB1442"/>
    <w:rsid w:val="00DB150D"/>
    <w:rsid w:val="00DB1613"/>
    <w:rsid w:val="00DB2950"/>
    <w:rsid w:val="00DB605D"/>
    <w:rsid w:val="00DC1267"/>
    <w:rsid w:val="00DC159D"/>
    <w:rsid w:val="00DC629A"/>
    <w:rsid w:val="00DD2CA7"/>
    <w:rsid w:val="00DD343C"/>
    <w:rsid w:val="00DE2810"/>
    <w:rsid w:val="00DE7E28"/>
    <w:rsid w:val="00DF11B1"/>
    <w:rsid w:val="00DF337D"/>
    <w:rsid w:val="00E018BD"/>
    <w:rsid w:val="00E02981"/>
    <w:rsid w:val="00E02995"/>
    <w:rsid w:val="00E02CE5"/>
    <w:rsid w:val="00E058BB"/>
    <w:rsid w:val="00E06988"/>
    <w:rsid w:val="00E07F4C"/>
    <w:rsid w:val="00E10CDE"/>
    <w:rsid w:val="00E179FF"/>
    <w:rsid w:val="00E17B01"/>
    <w:rsid w:val="00E17E3A"/>
    <w:rsid w:val="00E23625"/>
    <w:rsid w:val="00E236ED"/>
    <w:rsid w:val="00E24A50"/>
    <w:rsid w:val="00E308D1"/>
    <w:rsid w:val="00E33233"/>
    <w:rsid w:val="00E34B5B"/>
    <w:rsid w:val="00E367BD"/>
    <w:rsid w:val="00E418F7"/>
    <w:rsid w:val="00E41921"/>
    <w:rsid w:val="00E55104"/>
    <w:rsid w:val="00E566E4"/>
    <w:rsid w:val="00E57172"/>
    <w:rsid w:val="00E57A99"/>
    <w:rsid w:val="00E620E0"/>
    <w:rsid w:val="00E67074"/>
    <w:rsid w:val="00E728D3"/>
    <w:rsid w:val="00E737A4"/>
    <w:rsid w:val="00E759B4"/>
    <w:rsid w:val="00E77575"/>
    <w:rsid w:val="00E85656"/>
    <w:rsid w:val="00E86E51"/>
    <w:rsid w:val="00E948BA"/>
    <w:rsid w:val="00E94E96"/>
    <w:rsid w:val="00EA1FCE"/>
    <w:rsid w:val="00EA230F"/>
    <w:rsid w:val="00EA3B24"/>
    <w:rsid w:val="00EA3B3B"/>
    <w:rsid w:val="00EA7108"/>
    <w:rsid w:val="00EA71F2"/>
    <w:rsid w:val="00EC2FFA"/>
    <w:rsid w:val="00EC37C7"/>
    <w:rsid w:val="00EC4373"/>
    <w:rsid w:val="00ED1278"/>
    <w:rsid w:val="00ED310E"/>
    <w:rsid w:val="00ED38A9"/>
    <w:rsid w:val="00ED5591"/>
    <w:rsid w:val="00EE0929"/>
    <w:rsid w:val="00EE0F61"/>
    <w:rsid w:val="00EE6F48"/>
    <w:rsid w:val="00EE7649"/>
    <w:rsid w:val="00EE7962"/>
    <w:rsid w:val="00EF1E6B"/>
    <w:rsid w:val="00EF2032"/>
    <w:rsid w:val="00EF2CDD"/>
    <w:rsid w:val="00EF4A90"/>
    <w:rsid w:val="00EF7849"/>
    <w:rsid w:val="00F01DF4"/>
    <w:rsid w:val="00F036D8"/>
    <w:rsid w:val="00F10460"/>
    <w:rsid w:val="00F113A2"/>
    <w:rsid w:val="00F14D9D"/>
    <w:rsid w:val="00F21981"/>
    <w:rsid w:val="00F2277D"/>
    <w:rsid w:val="00F22B59"/>
    <w:rsid w:val="00F31BF7"/>
    <w:rsid w:val="00F32A38"/>
    <w:rsid w:val="00F32BA6"/>
    <w:rsid w:val="00F32F47"/>
    <w:rsid w:val="00F4445F"/>
    <w:rsid w:val="00F464F9"/>
    <w:rsid w:val="00F473A3"/>
    <w:rsid w:val="00F47DDC"/>
    <w:rsid w:val="00F50AE0"/>
    <w:rsid w:val="00F54CE9"/>
    <w:rsid w:val="00F603A3"/>
    <w:rsid w:val="00F6373C"/>
    <w:rsid w:val="00F731E8"/>
    <w:rsid w:val="00F7374B"/>
    <w:rsid w:val="00F73EBB"/>
    <w:rsid w:val="00F7640E"/>
    <w:rsid w:val="00F76CD4"/>
    <w:rsid w:val="00F76FE0"/>
    <w:rsid w:val="00F82A58"/>
    <w:rsid w:val="00F84703"/>
    <w:rsid w:val="00F85BA9"/>
    <w:rsid w:val="00F86C4E"/>
    <w:rsid w:val="00F90A68"/>
    <w:rsid w:val="00F93686"/>
    <w:rsid w:val="00F94734"/>
    <w:rsid w:val="00FA1BB3"/>
    <w:rsid w:val="00FA6BB0"/>
    <w:rsid w:val="00FA75CA"/>
    <w:rsid w:val="00FB0B6D"/>
    <w:rsid w:val="00FB5AA7"/>
    <w:rsid w:val="00FC429D"/>
    <w:rsid w:val="00FC630D"/>
    <w:rsid w:val="00FD74B3"/>
    <w:rsid w:val="00FD7A63"/>
    <w:rsid w:val="00FE6261"/>
    <w:rsid w:val="00FE67DA"/>
    <w:rsid w:val="00FF51BC"/>
    <w:rsid w:val="00FF5D95"/>
    <w:rsid w:val="00FF6761"/>
    <w:rsid w:val="01223559"/>
    <w:rsid w:val="01462235"/>
    <w:rsid w:val="01F60430"/>
    <w:rsid w:val="021D229B"/>
    <w:rsid w:val="02AD2186"/>
    <w:rsid w:val="02B25C3D"/>
    <w:rsid w:val="02C92162"/>
    <w:rsid w:val="02FA6EF2"/>
    <w:rsid w:val="02FF5E45"/>
    <w:rsid w:val="031C678A"/>
    <w:rsid w:val="0349745F"/>
    <w:rsid w:val="034D1CC8"/>
    <w:rsid w:val="039842CF"/>
    <w:rsid w:val="039B0D7D"/>
    <w:rsid w:val="03D567D9"/>
    <w:rsid w:val="03F363F6"/>
    <w:rsid w:val="045C354F"/>
    <w:rsid w:val="047E5D41"/>
    <w:rsid w:val="04842AA6"/>
    <w:rsid w:val="04846DD5"/>
    <w:rsid w:val="04B8641E"/>
    <w:rsid w:val="04CA3B18"/>
    <w:rsid w:val="052778F4"/>
    <w:rsid w:val="052F1387"/>
    <w:rsid w:val="05500BDA"/>
    <w:rsid w:val="05DB04A3"/>
    <w:rsid w:val="0604347C"/>
    <w:rsid w:val="062A0934"/>
    <w:rsid w:val="070F4658"/>
    <w:rsid w:val="078D3AFD"/>
    <w:rsid w:val="08042ADE"/>
    <w:rsid w:val="087F780C"/>
    <w:rsid w:val="088D64EC"/>
    <w:rsid w:val="08BA4CE8"/>
    <w:rsid w:val="090430D9"/>
    <w:rsid w:val="095344A8"/>
    <w:rsid w:val="095B73E3"/>
    <w:rsid w:val="09721F8E"/>
    <w:rsid w:val="09B47989"/>
    <w:rsid w:val="0A1C108A"/>
    <w:rsid w:val="0A4B1E4A"/>
    <w:rsid w:val="0A534AFF"/>
    <w:rsid w:val="0AE20B0A"/>
    <w:rsid w:val="0B537169"/>
    <w:rsid w:val="0B723658"/>
    <w:rsid w:val="0B9250CB"/>
    <w:rsid w:val="0BC83862"/>
    <w:rsid w:val="0C2B1433"/>
    <w:rsid w:val="0C2B6E7C"/>
    <w:rsid w:val="0C442AE4"/>
    <w:rsid w:val="0C4C1587"/>
    <w:rsid w:val="0C6C7336"/>
    <w:rsid w:val="0CF11F02"/>
    <w:rsid w:val="0CFF300B"/>
    <w:rsid w:val="0D037D85"/>
    <w:rsid w:val="0D451801"/>
    <w:rsid w:val="0D606B2F"/>
    <w:rsid w:val="0DA07183"/>
    <w:rsid w:val="0DA87805"/>
    <w:rsid w:val="0DCD5ABB"/>
    <w:rsid w:val="0DD77462"/>
    <w:rsid w:val="0DFF6A61"/>
    <w:rsid w:val="0E144079"/>
    <w:rsid w:val="0E1D25FC"/>
    <w:rsid w:val="0E2A7D0D"/>
    <w:rsid w:val="0E840700"/>
    <w:rsid w:val="0E9E7E22"/>
    <w:rsid w:val="0ED35847"/>
    <w:rsid w:val="0F042B52"/>
    <w:rsid w:val="0FD06ACB"/>
    <w:rsid w:val="0FFF2388"/>
    <w:rsid w:val="10451C50"/>
    <w:rsid w:val="10464669"/>
    <w:rsid w:val="10772D2F"/>
    <w:rsid w:val="10A2076A"/>
    <w:rsid w:val="10AC13BA"/>
    <w:rsid w:val="10AF1A20"/>
    <w:rsid w:val="111227A8"/>
    <w:rsid w:val="111B02EE"/>
    <w:rsid w:val="111B1D26"/>
    <w:rsid w:val="11606A2D"/>
    <w:rsid w:val="119E2955"/>
    <w:rsid w:val="11AE540E"/>
    <w:rsid w:val="11BA3663"/>
    <w:rsid w:val="11E2071C"/>
    <w:rsid w:val="121B53C5"/>
    <w:rsid w:val="122F3B48"/>
    <w:rsid w:val="12473DB3"/>
    <w:rsid w:val="125D1EF2"/>
    <w:rsid w:val="12722EA2"/>
    <w:rsid w:val="12BF30B1"/>
    <w:rsid w:val="12CE5D17"/>
    <w:rsid w:val="12D4449D"/>
    <w:rsid w:val="13147980"/>
    <w:rsid w:val="134A6C68"/>
    <w:rsid w:val="134C0C32"/>
    <w:rsid w:val="13655850"/>
    <w:rsid w:val="13BC3A75"/>
    <w:rsid w:val="14BD5114"/>
    <w:rsid w:val="14DF5D99"/>
    <w:rsid w:val="15085D61"/>
    <w:rsid w:val="154E3E6E"/>
    <w:rsid w:val="1579022B"/>
    <w:rsid w:val="15901D10"/>
    <w:rsid w:val="15A449D3"/>
    <w:rsid w:val="160C6494"/>
    <w:rsid w:val="16921052"/>
    <w:rsid w:val="169567F0"/>
    <w:rsid w:val="171B42F2"/>
    <w:rsid w:val="17306EA1"/>
    <w:rsid w:val="173E6C25"/>
    <w:rsid w:val="17856CA7"/>
    <w:rsid w:val="17A75B29"/>
    <w:rsid w:val="180513B0"/>
    <w:rsid w:val="18134C99"/>
    <w:rsid w:val="18434019"/>
    <w:rsid w:val="18542BF6"/>
    <w:rsid w:val="185714FE"/>
    <w:rsid w:val="188B3EC6"/>
    <w:rsid w:val="18AB6E88"/>
    <w:rsid w:val="19016AF0"/>
    <w:rsid w:val="19035F1E"/>
    <w:rsid w:val="1924255C"/>
    <w:rsid w:val="19DA53FD"/>
    <w:rsid w:val="19E11D95"/>
    <w:rsid w:val="1A1354BF"/>
    <w:rsid w:val="1A166D8D"/>
    <w:rsid w:val="1A1A19D2"/>
    <w:rsid w:val="1A7B3BAB"/>
    <w:rsid w:val="1B016171"/>
    <w:rsid w:val="1B2279AD"/>
    <w:rsid w:val="1B724FAE"/>
    <w:rsid w:val="1BC86E01"/>
    <w:rsid w:val="1C01766B"/>
    <w:rsid w:val="1C3926AD"/>
    <w:rsid w:val="1C531AB9"/>
    <w:rsid w:val="1C5B5210"/>
    <w:rsid w:val="1C940F54"/>
    <w:rsid w:val="1C996FE2"/>
    <w:rsid w:val="1D2D5615"/>
    <w:rsid w:val="1D7946FD"/>
    <w:rsid w:val="1DE74786"/>
    <w:rsid w:val="1DEA7E9E"/>
    <w:rsid w:val="1DEE4026"/>
    <w:rsid w:val="1E210611"/>
    <w:rsid w:val="1E361C38"/>
    <w:rsid w:val="1EA27958"/>
    <w:rsid w:val="1EAA2CB1"/>
    <w:rsid w:val="1ECF4EF5"/>
    <w:rsid w:val="1ED649B9"/>
    <w:rsid w:val="1F0C571A"/>
    <w:rsid w:val="1F1D16D5"/>
    <w:rsid w:val="1F2573EA"/>
    <w:rsid w:val="1F4D284C"/>
    <w:rsid w:val="1F501AAA"/>
    <w:rsid w:val="1FAE25F1"/>
    <w:rsid w:val="1FB060A0"/>
    <w:rsid w:val="1FE2463C"/>
    <w:rsid w:val="201E676B"/>
    <w:rsid w:val="20324395"/>
    <w:rsid w:val="20FC63AD"/>
    <w:rsid w:val="20FC6855"/>
    <w:rsid w:val="21380790"/>
    <w:rsid w:val="217113DA"/>
    <w:rsid w:val="21844BB5"/>
    <w:rsid w:val="21977500"/>
    <w:rsid w:val="21A67B84"/>
    <w:rsid w:val="21FA6DF4"/>
    <w:rsid w:val="21FC7871"/>
    <w:rsid w:val="2210130D"/>
    <w:rsid w:val="22950817"/>
    <w:rsid w:val="22B8599C"/>
    <w:rsid w:val="22BD491D"/>
    <w:rsid w:val="22C84412"/>
    <w:rsid w:val="233562BF"/>
    <w:rsid w:val="23384D2F"/>
    <w:rsid w:val="23464DE4"/>
    <w:rsid w:val="23711335"/>
    <w:rsid w:val="237E56C3"/>
    <w:rsid w:val="24030E16"/>
    <w:rsid w:val="244A678E"/>
    <w:rsid w:val="24940192"/>
    <w:rsid w:val="249825F1"/>
    <w:rsid w:val="24992D0D"/>
    <w:rsid w:val="24AC023E"/>
    <w:rsid w:val="24CF5954"/>
    <w:rsid w:val="24F64DA5"/>
    <w:rsid w:val="25C14F7B"/>
    <w:rsid w:val="26013B1B"/>
    <w:rsid w:val="261920E3"/>
    <w:rsid w:val="261E1534"/>
    <w:rsid w:val="26B17905"/>
    <w:rsid w:val="26B97F35"/>
    <w:rsid w:val="26D24169"/>
    <w:rsid w:val="27174C5C"/>
    <w:rsid w:val="273067C9"/>
    <w:rsid w:val="2741210B"/>
    <w:rsid w:val="27660DD0"/>
    <w:rsid w:val="276A7481"/>
    <w:rsid w:val="277551B2"/>
    <w:rsid w:val="279173E5"/>
    <w:rsid w:val="27F73F78"/>
    <w:rsid w:val="281C0984"/>
    <w:rsid w:val="28744BDA"/>
    <w:rsid w:val="2893480E"/>
    <w:rsid w:val="29223335"/>
    <w:rsid w:val="298F67ED"/>
    <w:rsid w:val="29B03871"/>
    <w:rsid w:val="29E85DEA"/>
    <w:rsid w:val="2A56543D"/>
    <w:rsid w:val="2A737E44"/>
    <w:rsid w:val="2ABB7B25"/>
    <w:rsid w:val="2B547350"/>
    <w:rsid w:val="2B7D771F"/>
    <w:rsid w:val="2C195BCB"/>
    <w:rsid w:val="2C2A7D12"/>
    <w:rsid w:val="2CAD701C"/>
    <w:rsid w:val="2CD33817"/>
    <w:rsid w:val="2D095824"/>
    <w:rsid w:val="2D5672B1"/>
    <w:rsid w:val="2DC51013"/>
    <w:rsid w:val="2DCF44E2"/>
    <w:rsid w:val="2DDE2EA9"/>
    <w:rsid w:val="2E47648F"/>
    <w:rsid w:val="2E565B2A"/>
    <w:rsid w:val="2E6812E3"/>
    <w:rsid w:val="2E7C4629"/>
    <w:rsid w:val="2EC64B5C"/>
    <w:rsid w:val="2ED400C3"/>
    <w:rsid w:val="2F9000D8"/>
    <w:rsid w:val="2FBB4D1E"/>
    <w:rsid w:val="2FDA2B8D"/>
    <w:rsid w:val="303F591A"/>
    <w:rsid w:val="3047087F"/>
    <w:rsid w:val="30684342"/>
    <w:rsid w:val="307318E5"/>
    <w:rsid w:val="307F00FF"/>
    <w:rsid w:val="3093267C"/>
    <w:rsid w:val="30D52967"/>
    <w:rsid w:val="30F6610E"/>
    <w:rsid w:val="30F7475C"/>
    <w:rsid w:val="310D5422"/>
    <w:rsid w:val="3142692F"/>
    <w:rsid w:val="31541DBA"/>
    <w:rsid w:val="31561180"/>
    <w:rsid w:val="315B627C"/>
    <w:rsid w:val="316A449E"/>
    <w:rsid w:val="31AE1FC7"/>
    <w:rsid w:val="31D22BF9"/>
    <w:rsid w:val="323F180D"/>
    <w:rsid w:val="329C4ED3"/>
    <w:rsid w:val="32E65787"/>
    <w:rsid w:val="32F100BD"/>
    <w:rsid w:val="33184235"/>
    <w:rsid w:val="336F02F9"/>
    <w:rsid w:val="33894BCA"/>
    <w:rsid w:val="33B72A4E"/>
    <w:rsid w:val="341A21EB"/>
    <w:rsid w:val="34515C51"/>
    <w:rsid w:val="34747AA0"/>
    <w:rsid w:val="348807AF"/>
    <w:rsid w:val="34BD32E6"/>
    <w:rsid w:val="34F16D04"/>
    <w:rsid w:val="351225C8"/>
    <w:rsid w:val="35335A0B"/>
    <w:rsid w:val="356674DA"/>
    <w:rsid w:val="35DE09C9"/>
    <w:rsid w:val="36483084"/>
    <w:rsid w:val="366B04D8"/>
    <w:rsid w:val="36B10C29"/>
    <w:rsid w:val="37425D25"/>
    <w:rsid w:val="376408CA"/>
    <w:rsid w:val="37774228"/>
    <w:rsid w:val="37AE3A93"/>
    <w:rsid w:val="382B5A14"/>
    <w:rsid w:val="382D4AFA"/>
    <w:rsid w:val="386332C5"/>
    <w:rsid w:val="387B0309"/>
    <w:rsid w:val="38A62FFD"/>
    <w:rsid w:val="39162FC5"/>
    <w:rsid w:val="3946701A"/>
    <w:rsid w:val="3951617D"/>
    <w:rsid w:val="3965233F"/>
    <w:rsid w:val="397A17A6"/>
    <w:rsid w:val="398805E1"/>
    <w:rsid w:val="399D78C9"/>
    <w:rsid w:val="39B822CE"/>
    <w:rsid w:val="3A0948D8"/>
    <w:rsid w:val="3A3A2CE3"/>
    <w:rsid w:val="3A40479E"/>
    <w:rsid w:val="3A5B2F18"/>
    <w:rsid w:val="3A7206CF"/>
    <w:rsid w:val="3A8C3FB2"/>
    <w:rsid w:val="3AE01BB1"/>
    <w:rsid w:val="3B111C96"/>
    <w:rsid w:val="3B30272B"/>
    <w:rsid w:val="3B5D3537"/>
    <w:rsid w:val="3B5E12EE"/>
    <w:rsid w:val="3B6A3D00"/>
    <w:rsid w:val="3B6B0611"/>
    <w:rsid w:val="3B8C5F20"/>
    <w:rsid w:val="3B94244F"/>
    <w:rsid w:val="3C23409E"/>
    <w:rsid w:val="3C4B2A92"/>
    <w:rsid w:val="3C8446EA"/>
    <w:rsid w:val="3C907271"/>
    <w:rsid w:val="3CCB2319"/>
    <w:rsid w:val="3DC43669"/>
    <w:rsid w:val="3DD95EA7"/>
    <w:rsid w:val="3E1201FF"/>
    <w:rsid w:val="3E3F2623"/>
    <w:rsid w:val="3ED63CC3"/>
    <w:rsid w:val="3ED74FA5"/>
    <w:rsid w:val="3F5B28AF"/>
    <w:rsid w:val="40766BEC"/>
    <w:rsid w:val="409444EC"/>
    <w:rsid w:val="40BF72D0"/>
    <w:rsid w:val="40D6429F"/>
    <w:rsid w:val="415A7EE6"/>
    <w:rsid w:val="415B3921"/>
    <w:rsid w:val="41761CA7"/>
    <w:rsid w:val="41952DE5"/>
    <w:rsid w:val="41B07342"/>
    <w:rsid w:val="421B005B"/>
    <w:rsid w:val="422A4671"/>
    <w:rsid w:val="423A7B79"/>
    <w:rsid w:val="42546C78"/>
    <w:rsid w:val="42C767AD"/>
    <w:rsid w:val="43041BFB"/>
    <w:rsid w:val="433B331D"/>
    <w:rsid w:val="43C41AA5"/>
    <w:rsid w:val="4401219E"/>
    <w:rsid w:val="44036F11"/>
    <w:rsid w:val="443324D8"/>
    <w:rsid w:val="4442446E"/>
    <w:rsid w:val="44477A39"/>
    <w:rsid w:val="445242F6"/>
    <w:rsid w:val="448462B0"/>
    <w:rsid w:val="44A57C2A"/>
    <w:rsid w:val="44BA514C"/>
    <w:rsid w:val="44DF070A"/>
    <w:rsid w:val="452847AC"/>
    <w:rsid w:val="45423E2F"/>
    <w:rsid w:val="454B049A"/>
    <w:rsid w:val="456D4695"/>
    <w:rsid w:val="45C51EAA"/>
    <w:rsid w:val="45FA7D68"/>
    <w:rsid w:val="45FB5F58"/>
    <w:rsid w:val="4601706A"/>
    <w:rsid w:val="468B15BF"/>
    <w:rsid w:val="46FF778E"/>
    <w:rsid w:val="47592AC8"/>
    <w:rsid w:val="47C022EA"/>
    <w:rsid w:val="4899611A"/>
    <w:rsid w:val="48BD23D3"/>
    <w:rsid w:val="48CA205A"/>
    <w:rsid w:val="49467CAC"/>
    <w:rsid w:val="49DC3ED6"/>
    <w:rsid w:val="49EB7B56"/>
    <w:rsid w:val="49F43B22"/>
    <w:rsid w:val="49F4637B"/>
    <w:rsid w:val="49F802CC"/>
    <w:rsid w:val="4A2117CA"/>
    <w:rsid w:val="4A83274D"/>
    <w:rsid w:val="4AA85A47"/>
    <w:rsid w:val="4ABD70AF"/>
    <w:rsid w:val="4AD11442"/>
    <w:rsid w:val="4AF0069C"/>
    <w:rsid w:val="4B6B71A0"/>
    <w:rsid w:val="4C170202"/>
    <w:rsid w:val="4C5D160E"/>
    <w:rsid w:val="4CC27294"/>
    <w:rsid w:val="4CD545C9"/>
    <w:rsid w:val="4D266AF1"/>
    <w:rsid w:val="4D3E079F"/>
    <w:rsid w:val="4D535BB7"/>
    <w:rsid w:val="4D8018F1"/>
    <w:rsid w:val="4D924EB8"/>
    <w:rsid w:val="4DAA338D"/>
    <w:rsid w:val="4DB43481"/>
    <w:rsid w:val="4DFA7D9E"/>
    <w:rsid w:val="4EB64BD7"/>
    <w:rsid w:val="4ECF25E0"/>
    <w:rsid w:val="4EEB7CA9"/>
    <w:rsid w:val="4F684387"/>
    <w:rsid w:val="4FEB01C7"/>
    <w:rsid w:val="500A342C"/>
    <w:rsid w:val="50106568"/>
    <w:rsid w:val="50324731"/>
    <w:rsid w:val="507C775A"/>
    <w:rsid w:val="510065DD"/>
    <w:rsid w:val="512B7CD4"/>
    <w:rsid w:val="514905B5"/>
    <w:rsid w:val="51853F75"/>
    <w:rsid w:val="518B020A"/>
    <w:rsid w:val="51C42211"/>
    <w:rsid w:val="51D341D6"/>
    <w:rsid w:val="51D743B8"/>
    <w:rsid w:val="522A757C"/>
    <w:rsid w:val="52650ECC"/>
    <w:rsid w:val="52724AB1"/>
    <w:rsid w:val="535A53CF"/>
    <w:rsid w:val="5360246E"/>
    <w:rsid w:val="538C4FF4"/>
    <w:rsid w:val="538D3CAA"/>
    <w:rsid w:val="53AC4C18"/>
    <w:rsid w:val="53D25467"/>
    <w:rsid w:val="545C0256"/>
    <w:rsid w:val="54A92AE8"/>
    <w:rsid w:val="553D1BAE"/>
    <w:rsid w:val="55BC2D3B"/>
    <w:rsid w:val="55D65B5E"/>
    <w:rsid w:val="55D71E8C"/>
    <w:rsid w:val="56580702"/>
    <w:rsid w:val="568E6439"/>
    <w:rsid w:val="56C65BD3"/>
    <w:rsid w:val="56F85B30"/>
    <w:rsid w:val="570F2729"/>
    <w:rsid w:val="573B31D8"/>
    <w:rsid w:val="573C7BEA"/>
    <w:rsid w:val="57AA6DDA"/>
    <w:rsid w:val="57D9143D"/>
    <w:rsid w:val="584642EB"/>
    <w:rsid w:val="5872170E"/>
    <w:rsid w:val="58B855F4"/>
    <w:rsid w:val="58C33A6C"/>
    <w:rsid w:val="58D30969"/>
    <w:rsid w:val="58D86810"/>
    <w:rsid w:val="58E169DF"/>
    <w:rsid w:val="59382F53"/>
    <w:rsid w:val="59573775"/>
    <w:rsid w:val="596E05AA"/>
    <w:rsid w:val="597F3659"/>
    <w:rsid w:val="59927FEE"/>
    <w:rsid w:val="59B66E68"/>
    <w:rsid w:val="5A05201A"/>
    <w:rsid w:val="5A0838EA"/>
    <w:rsid w:val="5A096502"/>
    <w:rsid w:val="5A3B68D8"/>
    <w:rsid w:val="5A6B3970"/>
    <w:rsid w:val="5AA3501C"/>
    <w:rsid w:val="5AB165B1"/>
    <w:rsid w:val="5ADE5150"/>
    <w:rsid w:val="5AE85F5F"/>
    <w:rsid w:val="5B0B44FC"/>
    <w:rsid w:val="5B866785"/>
    <w:rsid w:val="5BD7618C"/>
    <w:rsid w:val="5C677ECC"/>
    <w:rsid w:val="5D5A6757"/>
    <w:rsid w:val="5DCD2ABA"/>
    <w:rsid w:val="5F445DE8"/>
    <w:rsid w:val="5FCA04E2"/>
    <w:rsid w:val="5FE80968"/>
    <w:rsid w:val="601A1818"/>
    <w:rsid w:val="606B4658"/>
    <w:rsid w:val="607D5554"/>
    <w:rsid w:val="60D42C45"/>
    <w:rsid w:val="60D57568"/>
    <w:rsid w:val="6129748A"/>
    <w:rsid w:val="616D6DFA"/>
    <w:rsid w:val="617A3172"/>
    <w:rsid w:val="61BA4586"/>
    <w:rsid w:val="62B857F3"/>
    <w:rsid w:val="62F7085A"/>
    <w:rsid w:val="62F94650"/>
    <w:rsid w:val="62FD1DA2"/>
    <w:rsid w:val="63383589"/>
    <w:rsid w:val="63412AAC"/>
    <w:rsid w:val="63AD5074"/>
    <w:rsid w:val="640306F3"/>
    <w:rsid w:val="64493987"/>
    <w:rsid w:val="649675DA"/>
    <w:rsid w:val="64B96A68"/>
    <w:rsid w:val="64C13FD4"/>
    <w:rsid w:val="652137D3"/>
    <w:rsid w:val="65A92B06"/>
    <w:rsid w:val="65E73470"/>
    <w:rsid w:val="66A31F4D"/>
    <w:rsid w:val="66AD03D7"/>
    <w:rsid w:val="66B62A97"/>
    <w:rsid w:val="66C5682B"/>
    <w:rsid w:val="67063403"/>
    <w:rsid w:val="672256C2"/>
    <w:rsid w:val="67267484"/>
    <w:rsid w:val="67395F4D"/>
    <w:rsid w:val="673D0876"/>
    <w:rsid w:val="6760140E"/>
    <w:rsid w:val="676D4DFE"/>
    <w:rsid w:val="67BB791E"/>
    <w:rsid w:val="67D06633"/>
    <w:rsid w:val="680C64B8"/>
    <w:rsid w:val="6813581D"/>
    <w:rsid w:val="68246BFD"/>
    <w:rsid w:val="68251524"/>
    <w:rsid w:val="682E5386"/>
    <w:rsid w:val="688651C2"/>
    <w:rsid w:val="68AB6EB0"/>
    <w:rsid w:val="68AE414D"/>
    <w:rsid w:val="690A5DF3"/>
    <w:rsid w:val="691B6793"/>
    <w:rsid w:val="6980615C"/>
    <w:rsid w:val="6A0C061B"/>
    <w:rsid w:val="6A0F5175"/>
    <w:rsid w:val="6A211CE5"/>
    <w:rsid w:val="6AC33B8D"/>
    <w:rsid w:val="6ADF6E0B"/>
    <w:rsid w:val="6B235906"/>
    <w:rsid w:val="6B6E6157"/>
    <w:rsid w:val="6BE8703F"/>
    <w:rsid w:val="6BF23936"/>
    <w:rsid w:val="6C582A3C"/>
    <w:rsid w:val="6C9B1B05"/>
    <w:rsid w:val="6CA44912"/>
    <w:rsid w:val="6CB32F5C"/>
    <w:rsid w:val="6CBF4278"/>
    <w:rsid w:val="6CC43F5E"/>
    <w:rsid w:val="6CDE55CC"/>
    <w:rsid w:val="6CF525C8"/>
    <w:rsid w:val="6D0B213A"/>
    <w:rsid w:val="6D3C0581"/>
    <w:rsid w:val="6D4D33D8"/>
    <w:rsid w:val="6D5F080C"/>
    <w:rsid w:val="6D763C20"/>
    <w:rsid w:val="6D77372B"/>
    <w:rsid w:val="6E057DB2"/>
    <w:rsid w:val="6E8408DA"/>
    <w:rsid w:val="6EA079C0"/>
    <w:rsid w:val="6EBE032E"/>
    <w:rsid w:val="6EFB5A89"/>
    <w:rsid w:val="6F073CD2"/>
    <w:rsid w:val="6F184CB4"/>
    <w:rsid w:val="6F4B1FB9"/>
    <w:rsid w:val="6F5D349D"/>
    <w:rsid w:val="6F9C0D1A"/>
    <w:rsid w:val="6FB31727"/>
    <w:rsid w:val="6FCD2D4F"/>
    <w:rsid w:val="6FDC4815"/>
    <w:rsid w:val="6FEC1A9E"/>
    <w:rsid w:val="6FF677BA"/>
    <w:rsid w:val="704A2F79"/>
    <w:rsid w:val="705967D3"/>
    <w:rsid w:val="70641B61"/>
    <w:rsid w:val="71253A25"/>
    <w:rsid w:val="713B2A1B"/>
    <w:rsid w:val="715E0962"/>
    <w:rsid w:val="71794B59"/>
    <w:rsid w:val="71855AEF"/>
    <w:rsid w:val="719D47F2"/>
    <w:rsid w:val="71E02949"/>
    <w:rsid w:val="723E0A6C"/>
    <w:rsid w:val="723E572B"/>
    <w:rsid w:val="729329B5"/>
    <w:rsid w:val="72D44160"/>
    <w:rsid w:val="730168D6"/>
    <w:rsid w:val="73867DE4"/>
    <w:rsid w:val="73C86673"/>
    <w:rsid w:val="74CD402D"/>
    <w:rsid w:val="74E21577"/>
    <w:rsid w:val="74E50DAE"/>
    <w:rsid w:val="74EE435D"/>
    <w:rsid w:val="750F227C"/>
    <w:rsid w:val="75181BDD"/>
    <w:rsid w:val="75322959"/>
    <w:rsid w:val="755D6886"/>
    <w:rsid w:val="75853003"/>
    <w:rsid w:val="75A66F64"/>
    <w:rsid w:val="75D43A11"/>
    <w:rsid w:val="75FF68E7"/>
    <w:rsid w:val="76504DA4"/>
    <w:rsid w:val="765336FE"/>
    <w:rsid w:val="76964A01"/>
    <w:rsid w:val="76B34C0F"/>
    <w:rsid w:val="76F25221"/>
    <w:rsid w:val="770C6B71"/>
    <w:rsid w:val="771A18F7"/>
    <w:rsid w:val="77221320"/>
    <w:rsid w:val="77495AB7"/>
    <w:rsid w:val="77AC6BAC"/>
    <w:rsid w:val="77BB1629"/>
    <w:rsid w:val="78014865"/>
    <w:rsid w:val="78197E01"/>
    <w:rsid w:val="78272F4E"/>
    <w:rsid w:val="78A06277"/>
    <w:rsid w:val="78E636B9"/>
    <w:rsid w:val="78F13F3B"/>
    <w:rsid w:val="78FE0FC6"/>
    <w:rsid w:val="7A35049E"/>
    <w:rsid w:val="7AAC0AB8"/>
    <w:rsid w:val="7AB64072"/>
    <w:rsid w:val="7B05200B"/>
    <w:rsid w:val="7B181CD7"/>
    <w:rsid w:val="7B2335C6"/>
    <w:rsid w:val="7B503065"/>
    <w:rsid w:val="7B79797E"/>
    <w:rsid w:val="7C1A4147"/>
    <w:rsid w:val="7C405474"/>
    <w:rsid w:val="7C6C17B0"/>
    <w:rsid w:val="7C6E6004"/>
    <w:rsid w:val="7C80494F"/>
    <w:rsid w:val="7CF107D5"/>
    <w:rsid w:val="7D4639B2"/>
    <w:rsid w:val="7D4F3293"/>
    <w:rsid w:val="7D6E41A0"/>
    <w:rsid w:val="7D782ED3"/>
    <w:rsid w:val="7DA16201"/>
    <w:rsid w:val="7DA41F1A"/>
    <w:rsid w:val="7E0C6A36"/>
    <w:rsid w:val="7E8104AE"/>
    <w:rsid w:val="7F042C4B"/>
    <w:rsid w:val="7F166E48"/>
    <w:rsid w:val="7F3B68AE"/>
    <w:rsid w:val="7F517EBE"/>
    <w:rsid w:val="7F5E434B"/>
    <w:rsid w:val="7F761695"/>
    <w:rsid w:val="7FBF3B8C"/>
    <w:rsid w:val="7FC20D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semiHidden="0" w:name="heading 3" w:locked="1"/>
    <w:lsdException w:qFormat="1" w:uiPriority="0" w:name="heading 4" w:locked="1"/>
    <w:lsdException w:qFormat="1" w:uiPriority="0" w:name="heading 5" w:locked="1"/>
    <w:lsdException w:qFormat="1" w:unhideWhenUsed="0" w:uiPriority="99" w:semiHidden="0" w:name="heading 6"/>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ind w:firstLine="641"/>
      <w:jc w:val="both"/>
    </w:pPr>
    <w:rPr>
      <w:rFonts w:ascii="Times New Roman" w:hAnsi="Times New Roman" w:eastAsia="仿宋_GB2312" w:cs="Times New Roman"/>
      <w:kern w:val="2"/>
      <w:sz w:val="32"/>
      <w:szCs w:val="22"/>
      <w:lang w:val="en-US" w:eastAsia="zh-CN" w:bidi="ar-SA"/>
    </w:rPr>
  </w:style>
  <w:style w:type="paragraph" w:styleId="2">
    <w:name w:val="heading 2"/>
    <w:basedOn w:val="1"/>
    <w:next w:val="1"/>
    <w:link w:val="16"/>
    <w:qFormat/>
    <w:uiPriority w:val="99"/>
    <w:pPr>
      <w:widowControl/>
      <w:spacing w:before="200" w:line="271" w:lineRule="auto"/>
      <w:jc w:val="left"/>
      <w:outlineLvl w:val="1"/>
    </w:pPr>
    <w:rPr>
      <w:rFonts w:ascii="Cambria" w:hAnsi="Cambria"/>
      <w:smallCaps/>
      <w:kern w:val="0"/>
      <w:sz w:val="28"/>
      <w:szCs w:val="28"/>
      <w:lang w:eastAsia="en-US"/>
    </w:rPr>
  </w:style>
  <w:style w:type="paragraph" w:styleId="3">
    <w:name w:val="heading 3"/>
    <w:basedOn w:val="1"/>
    <w:next w:val="1"/>
    <w:link w:val="28"/>
    <w:unhideWhenUsed/>
    <w:qFormat/>
    <w:locked/>
    <w:uiPriority w:val="0"/>
    <w:pPr>
      <w:keepNext/>
      <w:keepLines/>
      <w:spacing w:before="260" w:after="260" w:line="416" w:lineRule="atLeast"/>
      <w:outlineLvl w:val="2"/>
    </w:pPr>
    <w:rPr>
      <w:b/>
      <w:bCs/>
      <w:szCs w:val="32"/>
    </w:rPr>
  </w:style>
  <w:style w:type="paragraph" w:styleId="4">
    <w:name w:val="heading 6"/>
    <w:basedOn w:val="1"/>
    <w:next w:val="1"/>
    <w:link w:val="17"/>
    <w:qFormat/>
    <w:uiPriority w:val="99"/>
    <w:pPr>
      <w:keepNext/>
      <w:keepLines/>
      <w:spacing w:before="240" w:after="64" w:line="320" w:lineRule="auto"/>
      <w:outlineLvl w:val="5"/>
    </w:pPr>
    <w:rPr>
      <w:rFonts w:ascii="Cambria" w:hAnsi="Cambria"/>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alloon Text"/>
    <w:basedOn w:val="1"/>
    <w:link w:val="27"/>
    <w:semiHidden/>
    <w:unhideWhenUsed/>
    <w:qFormat/>
    <w:uiPriority w:val="99"/>
    <w:pPr>
      <w:spacing w:line="240" w:lineRule="auto"/>
    </w:pPr>
    <w:rPr>
      <w:sz w:val="18"/>
      <w:szCs w:val="18"/>
    </w:rPr>
  </w:style>
  <w:style w:type="paragraph" w:styleId="7">
    <w:name w:val="footer"/>
    <w:basedOn w:val="1"/>
    <w:link w:val="26"/>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Subtitle"/>
    <w:basedOn w:val="1"/>
    <w:next w:val="1"/>
    <w:link w:val="29"/>
    <w:qFormat/>
    <w:locked/>
    <w:uiPriority w:val="0"/>
    <w:pPr>
      <w:spacing w:before="240" w:after="60" w:line="312" w:lineRule="auto"/>
      <w:jc w:val="center"/>
      <w:outlineLvl w:val="1"/>
    </w:pPr>
    <w:rPr>
      <w:rFonts w:ascii="Cambria" w:hAnsi="Cambria"/>
      <w:b/>
      <w:bCs/>
      <w:kern w:val="28"/>
      <w:szCs w:val="32"/>
    </w:rPr>
  </w:style>
  <w:style w:type="paragraph" w:styleId="10">
    <w:name w:val="Normal (Web)"/>
    <w:basedOn w:val="1"/>
    <w:semiHidden/>
    <w:unhideWhenUsed/>
    <w:qFormat/>
    <w:uiPriority w:val="99"/>
    <w:pPr>
      <w:spacing w:line="240" w:lineRule="auto"/>
      <w:ind w:firstLine="0"/>
    </w:pPr>
    <w:rPr>
      <w:sz w:val="24"/>
      <w:szCs w:val="24"/>
    </w:rPr>
  </w:style>
  <w:style w:type="table" w:styleId="12">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4">
    <w:name w:val="Strong"/>
    <w:basedOn w:val="13"/>
    <w:qFormat/>
    <w:locked/>
    <w:uiPriority w:val="0"/>
    <w:rPr>
      <w:b/>
    </w:rPr>
  </w:style>
  <w:style w:type="paragraph" w:customStyle="1" w:styleId="15">
    <w:name w:val="表格文字"/>
    <w:basedOn w:val="1"/>
    <w:qFormat/>
    <w:uiPriority w:val="0"/>
    <w:pPr>
      <w:snapToGrid w:val="0"/>
      <w:spacing w:before="25" w:after="25"/>
    </w:pPr>
    <w:rPr>
      <w:rFonts w:ascii="Calibri" w:hAnsi="Calibri" w:eastAsia="Calibri"/>
      <w:bCs/>
      <w:spacing w:val="10"/>
      <w:sz w:val="24"/>
      <w:szCs w:val="20"/>
      <w:lang w:eastAsia="en-US"/>
    </w:rPr>
  </w:style>
  <w:style w:type="character" w:customStyle="1" w:styleId="16">
    <w:name w:val="标题 2 Char"/>
    <w:basedOn w:val="13"/>
    <w:link w:val="2"/>
    <w:qFormat/>
    <w:uiPriority w:val="99"/>
    <w:rPr>
      <w:rFonts w:ascii="Cambria" w:hAnsi="Cambria" w:eastAsia="宋体" w:cs="Times New Roman"/>
      <w:smallCaps/>
      <w:kern w:val="0"/>
      <w:sz w:val="28"/>
      <w:szCs w:val="28"/>
      <w:lang w:eastAsia="en-US"/>
    </w:rPr>
  </w:style>
  <w:style w:type="character" w:customStyle="1" w:styleId="17">
    <w:name w:val="标题 6 Char"/>
    <w:basedOn w:val="13"/>
    <w:link w:val="4"/>
    <w:qFormat/>
    <w:uiPriority w:val="99"/>
    <w:rPr>
      <w:rFonts w:ascii="Cambria" w:hAnsi="Cambria" w:eastAsia="宋体" w:cs="Times New Roman"/>
      <w:b/>
      <w:bCs/>
      <w:sz w:val="24"/>
      <w:szCs w:val="24"/>
    </w:rPr>
  </w:style>
  <w:style w:type="paragraph" w:styleId="18">
    <w:name w:val="List Paragraph"/>
    <w:basedOn w:val="1"/>
    <w:qFormat/>
    <w:uiPriority w:val="34"/>
    <w:pPr>
      <w:ind w:firstLine="420"/>
    </w:pPr>
  </w:style>
  <w:style w:type="paragraph" w:customStyle="1" w:styleId="19">
    <w:name w:val="三级标题"/>
    <w:basedOn w:val="1"/>
    <w:link w:val="20"/>
    <w:qFormat/>
    <w:uiPriority w:val="0"/>
    <w:pPr>
      <w:spacing w:beforeLines="500" w:afterLines="150"/>
    </w:pPr>
    <w:rPr>
      <w:rFonts w:ascii="方正小标宋简体" w:eastAsia="方正小标宋简体"/>
      <w:sz w:val="36"/>
      <w:szCs w:val="36"/>
    </w:rPr>
  </w:style>
  <w:style w:type="character" w:customStyle="1" w:styleId="20">
    <w:name w:val="三级标题 Char"/>
    <w:basedOn w:val="13"/>
    <w:link w:val="19"/>
    <w:qFormat/>
    <w:uiPriority w:val="0"/>
    <w:rPr>
      <w:rFonts w:ascii="方正小标宋简体" w:eastAsia="方正小标宋简体"/>
      <w:kern w:val="2"/>
      <w:sz w:val="36"/>
      <w:szCs w:val="36"/>
    </w:rPr>
  </w:style>
  <w:style w:type="paragraph" w:customStyle="1" w:styleId="21">
    <w:name w:val="四级标题"/>
    <w:basedOn w:val="1"/>
    <w:link w:val="22"/>
    <w:qFormat/>
    <w:uiPriority w:val="0"/>
    <w:pPr>
      <w:ind w:firstLine="480"/>
    </w:pPr>
    <w:rPr>
      <w:rFonts w:ascii="黑体" w:eastAsia="黑体"/>
      <w:sz w:val="24"/>
      <w:szCs w:val="24"/>
    </w:rPr>
  </w:style>
  <w:style w:type="character" w:customStyle="1" w:styleId="22">
    <w:name w:val="四级标题 Char"/>
    <w:basedOn w:val="13"/>
    <w:link w:val="21"/>
    <w:qFormat/>
    <w:uiPriority w:val="0"/>
    <w:rPr>
      <w:rFonts w:ascii="黑体" w:eastAsia="黑体"/>
      <w:sz w:val="24"/>
      <w:szCs w:val="24"/>
    </w:rPr>
  </w:style>
  <w:style w:type="paragraph" w:customStyle="1" w:styleId="23">
    <w:name w:val="标题四"/>
    <w:basedOn w:val="21"/>
    <w:link w:val="24"/>
    <w:qFormat/>
    <w:uiPriority w:val="0"/>
  </w:style>
  <w:style w:type="character" w:customStyle="1" w:styleId="24">
    <w:name w:val="标题四 Char"/>
    <w:basedOn w:val="22"/>
    <w:link w:val="23"/>
    <w:qFormat/>
    <w:uiPriority w:val="0"/>
    <w:rPr>
      <w:rFonts w:ascii="黑体" w:eastAsia="黑体"/>
      <w:sz w:val="24"/>
      <w:szCs w:val="24"/>
    </w:rPr>
  </w:style>
  <w:style w:type="character" w:customStyle="1" w:styleId="25">
    <w:name w:val="页眉 Char"/>
    <w:basedOn w:val="13"/>
    <w:link w:val="8"/>
    <w:qFormat/>
    <w:uiPriority w:val="99"/>
    <w:rPr>
      <w:sz w:val="18"/>
      <w:szCs w:val="18"/>
    </w:rPr>
  </w:style>
  <w:style w:type="character" w:customStyle="1" w:styleId="26">
    <w:name w:val="页脚 Char"/>
    <w:basedOn w:val="13"/>
    <w:link w:val="7"/>
    <w:qFormat/>
    <w:uiPriority w:val="99"/>
    <w:rPr>
      <w:sz w:val="18"/>
      <w:szCs w:val="18"/>
    </w:rPr>
  </w:style>
  <w:style w:type="character" w:customStyle="1" w:styleId="27">
    <w:name w:val="批注框文本 Char"/>
    <w:basedOn w:val="13"/>
    <w:link w:val="6"/>
    <w:semiHidden/>
    <w:qFormat/>
    <w:uiPriority w:val="99"/>
    <w:rPr>
      <w:rFonts w:ascii="Times New Roman" w:hAnsi="Times New Roman" w:eastAsia="仿宋_GB2312"/>
      <w:sz w:val="18"/>
      <w:szCs w:val="18"/>
    </w:rPr>
  </w:style>
  <w:style w:type="character" w:customStyle="1" w:styleId="28">
    <w:name w:val="标题 3 Char"/>
    <w:basedOn w:val="13"/>
    <w:link w:val="3"/>
    <w:qFormat/>
    <w:uiPriority w:val="0"/>
    <w:rPr>
      <w:rFonts w:ascii="Times New Roman" w:hAnsi="Times New Roman" w:eastAsia="仿宋_GB2312" w:cs="Times New Roman"/>
      <w:b/>
      <w:bCs/>
      <w:kern w:val="2"/>
      <w:sz w:val="32"/>
      <w:szCs w:val="32"/>
    </w:rPr>
  </w:style>
  <w:style w:type="character" w:customStyle="1" w:styleId="29">
    <w:name w:val="副标题 Char"/>
    <w:basedOn w:val="13"/>
    <w:link w:val="9"/>
    <w:qFormat/>
    <w:uiPriority w:val="0"/>
    <w:rPr>
      <w:rFonts w:ascii="Cambria" w:hAnsi="Cambria" w:eastAsia="仿宋_GB2312" w:cs="Times New Roman"/>
      <w:b/>
      <w:bCs/>
      <w:kern w:val="28"/>
      <w:sz w:val="32"/>
      <w:szCs w:val="32"/>
    </w:rPr>
  </w:style>
  <w:style w:type="paragraph" w:customStyle="1" w:styleId="30">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5441</Words>
  <Characters>5579</Characters>
  <Lines>40</Lines>
  <Paragraphs>11</Paragraphs>
  <TotalTime>0</TotalTime>
  <ScaleCrop>false</ScaleCrop>
  <LinksUpToDate>false</LinksUpToDate>
  <CharactersWithSpaces>5606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2024-05-16T01:33:00Z</dcterms:created>
  <dc:creator>Sky123.Org</dc:creator>
  <cp:lastModifiedBy>Administrator</cp:lastModifiedBy>
  <cp:lastPrinted>2025-10-27T10:12:00Z</cp:lastPrinted>
  <dcterms:modified xsi:type="dcterms:W3CDTF">2026-10-09T00:45:39Z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F9C45E81E04D4257B6E35EA51D35A40D_13</vt:lpwstr>
  </property>
  <property fmtid="{D5CDD505-2E9C-101B-9397-08002B2CF9AE}" pid="4" name="KSOTemplateDocerSaveRecord">
    <vt:lpwstr>eyJoZGlkIjoiNjg0NzQ0NmNmYjlhYmM0NDBmZTg1MDM0MTljOTVkODIiLCJ1c2VySWQiOiI0MjMyNjgyNDAifQ==</vt:lpwstr>
  </property>
</Properties>
</file>