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D1252">
      <w:pPr>
        <w:ind w:firstLine="0"/>
        <w:rPr>
          <w:rFonts w:hint="eastAsia" w:ascii="仿宋_GB2312" w:hAnsi="仿宋_GB2312" w:cs="仿宋_GB2312"/>
          <w:b/>
          <w:bCs/>
        </w:rPr>
      </w:pPr>
      <w:r>
        <w:rPr>
          <w:rFonts w:hint="eastAsia"/>
          <w:b/>
          <w:bCs/>
        </w:rPr>
        <w:t>附件</w:t>
      </w:r>
      <w:r>
        <w:rPr>
          <w:rFonts w:hint="eastAsia"/>
          <w:b/>
          <w:bCs/>
          <w:lang w:val="en-US" w:eastAsia="zh-CN"/>
        </w:rPr>
        <w:t>1</w:t>
      </w:r>
      <w:r>
        <w:rPr>
          <w:rFonts w:hint="eastAsia" w:ascii="仿宋_GB2312" w:hAnsi="仿宋_GB2312" w:cs="仿宋_GB2312"/>
          <w:b/>
          <w:bCs/>
        </w:rPr>
        <w:t>：</w:t>
      </w:r>
    </w:p>
    <w:p w14:paraId="3A3B0F4E">
      <w:pPr>
        <w:pStyle w:val="2"/>
        <w:jc w:val="center"/>
        <w:rPr>
          <w:rFonts w:hint="eastAsia" w:ascii="方正小标宋简体" w:eastAsia="方正小标宋简体"/>
          <w:sz w:val="44"/>
          <w:szCs w:val="44"/>
        </w:rPr>
      </w:pPr>
      <w:r>
        <w:rPr>
          <w:rFonts w:hint="eastAsia" w:ascii="方正小标宋简体" w:eastAsia="方正小标宋简体"/>
          <w:sz w:val="44"/>
          <w:szCs w:val="44"/>
          <w:lang w:eastAsia="zh-CN"/>
        </w:rPr>
        <w:t>新生儿呼吸机</w:t>
      </w:r>
      <w:r>
        <w:rPr>
          <w:rFonts w:hint="eastAsia" w:ascii="方正小标宋简体" w:eastAsia="方正小标宋简体"/>
          <w:sz w:val="44"/>
          <w:szCs w:val="44"/>
        </w:rPr>
        <w:t>技术要求及</w:t>
      </w:r>
      <w:r>
        <w:rPr>
          <w:rFonts w:hint="eastAsia" w:ascii="方正小标宋简体" w:eastAsia="方正小标宋简体"/>
          <w:sz w:val="44"/>
          <w:szCs w:val="44"/>
          <w:lang w:eastAsia="zh-CN"/>
        </w:rPr>
        <w:t>具</w:t>
      </w:r>
      <w:r>
        <w:rPr>
          <w:rFonts w:hint="eastAsia" w:ascii="方正小标宋简体" w:eastAsia="方正小标宋简体"/>
          <w:sz w:val="44"/>
          <w:szCs w:val="44"/>
        </w:rPr>
        <w:t>体评审标准</w:t>
      </w:r>
    </w:p>
    <w:p w14:paraId="3A2C0485">
      <w:pPr>
        <w:rPr>
          <w:rFonts w:hint="eastAsia" w:eastAsia="方正小标宋简体"/>
          <w:lang w:eastAsia="zh-CN"/>
        </w:rPr>
      </w:pPr>
      <w:r>
        <w:rPr>
          <w:rFonts w:hint="eastAsia" w:ascii="宋体" w:hAnsi="宋体" w:eastAsia="宋体" w:cs="宋体"/>
          <w:b/>
          <w:bCs/>
          <w:sz w:val="32"/>
          <w:szCs w:val="32"/>
          <w:lang w:eastAsia="zh-CN"/>
        </w:rPr>
        <w:t>一、新生儿呼吸机技术要求</w:t>
      </w:r>
    </w:p>
    <w:tbl>
      <w:tblPr>
        <w:tblStyle w:val="11"/>
        <w:tblW w:w="883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73"/>
        <w:gridCol w:w="813"/>
        <w:gridCol w:w="6853"/>
      </w:tblGrid>
      <w:tr w14:paraId="4DA60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1173" w:type="dxa"/>
            <w:vAlign w:val="center"/>
          </w:tcPr>
          <w:p w14:paraId="1AC5521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heme="minorHAnsi" w:hAnsiTheme="minorHAnsi" w:eastAsiaTheme="minorEastAsia" w:cstheme="minorBidi"/>
                <w:b/>
                <w:bCs/>
                <w:color w:val="000000" w:themeColor="text1"/>
                <w:sz w:val="21"/>
                <w:szCs w:val="24"/>
                <w:highlight w:val="none"/>
                <w14:textFill>
                  <w14:solidFill>
                    <w14:schemeClr w14:val="tx1"/>
                  </w14:solidFill>
                </w14:textFill>
              </w:rPr>
            </w:pPr>
            <w:r>
              <w:rPr>
                <w:rFonts w:hint="default" w:asciiTheme="minorHAnsi" w:hAnsiTheme="minorHAnsi" w:eastAsiaTheme="minorEastAsia" w:cstheme="minorBidi"/>
                <w:b/>
                <w:bCs/>
                <w:color w:val="000000" w:themeColor="text1"/>
                <w:sz w:val="21"/>
                <w:szCs w:val="24"/>
                <w:highlight w:val="none"/>
                <w14:textFill>
                  <w14:solidFill>
                    <w14:schemeClr w14:val="tx1"/>
                  </w14:solidFill>
                </w14:textFill>
              </w:rPr>
              <w:t>参数性质</w:t>
            </w:r>
          </w:p>
        </w:tc>
        <w:tc>
          <w:tcPr>
            <w:tcW w:w="813" w:type="dxa"/>
            <w:vAlign w:val="center"/>
          </w:tcPr>
          <w:p w14:paraId="7E7EDB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heme="minorHAnsi" w:hAnsiTheme="minorHAnsi" w:eastAsiaTheme="minorEastAsia" w:cstheme="minorBidi"/>
                <w:b/>
                <w:bCs/>
                <w:color w:val="000000" w:themeColor="text1"/>
                <w:sz w:val="21"/>
                <w:szCs w:val="24"/>
                <w:highlight w:val="none"/>
                <w14:textFill>
                  <w14:solidFill>
                    <w14:schemeClr w14:val="tx1"/>
                  </w14:solidFill>
                </w14:textFill>
              </w:rPr>
            </w:pPr>
            <w:r>
              <w:rPr>
                <w:rFonts w:hint="default" w:asciiTheme="minorHAnsi" w:hAnsiTheme="minorHAnsi" w:eastAsiaTheme="minorEastAsia" w:cstheme="minorBidi"/>
                <w:b/>
                <w:bCs/>
                <w:color w:val="000000" w:themeColor="text1"/>
                <w:sz w:val="21"/>
                <w:szCs w:val="24"/>
                <w:highlight w:val="none"/>
                <w14:textFill>
                  <w14:solidFill>
                    <w14:schemeClr w14:val="tx1"/>
                  </w14:solidFill>
                </w14:textFill>
              </w:rPr>
              <w:t>序号</w:t>
            </w:r>
          </w:p>
        </w:tc>
        <w:tc>
          <w:tcPr>
            <w:tcW w:w="6853" w:type="dxa"/>
            <w:vAlign w:val="center"/>
          </w:tcPr>
          <w:p w14:paraId="2505BC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heme="minorHAnsi" w:hAnsiTheme="minorHAnsi" w:eastAsiaTheme="minorEastAsia" w:cstheme="minorBidi"/>
                <w:b/>
                <w:bCs/>
                <w:color w:val="000000" w:themeColor="text1"/>
                <w:sz w:val="21"/>
                <w:szCs w:val="24"/>
                <w:highlight w:val="none"/>
                <w14:textFill>
                  <w14:solidFill>
                    <w14:schemeClr w14:val="tx1"/>
                  </w14:solidFill>
                </w14:textFill>
              </w:rPr>
            </w:pPr>
            <w:r>
              <w:rPr>
                <w:rFonts w:hint="default" w:asciiTheme="minorHAnsi" w:hAnsiTheme="minorHAnsi" w:eastAsiaTheme="minorEastAsia" w:cstheme="minorBidi"/>
                <w:b/>
                <w:bCs/>
                <w:color w:val="000000" w:themeColor="text1"/>
                <w:sz w:val="21"/>
                <w:szCs w:val="24"/>
                <w:highlight w:val="none"/>
                <w14:textFill>
                  <w14:solidFill>
                    <w14:schemeClr w14:val="tx1"/>
                  </w14:solidFill>
                </w14:textFill>
              </w:rPr>
              <w:t>具体技术(参数)要求</w:t>
            </w:r>
          </w:p>
        </w:tc>
      </w:tr>
      <w:tr w14:paraId="7999E9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4ACC2C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813" w:type="dxa"/>
            <w:vAlign w:val="center"/>
          </w:tcPr>
          <w:p w14:paraId="36AB4E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6853" w:type="dxa"/>
            <w:vAlign w:val="center"/>
          </w:tcPr>
          <w:p w14:paraId="03C832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一、</w:t>
            </w:r>
            <w:r>
              <w:rPr>
                <w:rFonts w:hint="eastAsia" w:ascii="宋体" w:hAnsi="宋体" w:eastAsia="宋体" w:cs="宋体"/>
                <w:b/>
                <w:bCs/>
                <w:color w:val="000000" w:themeColor="text1"/>
                <w:sz w:val="24"/>
                <w:szCs w:val="24"/>
                <w:lang w:eastAsia="zh-CN"/>
                <w14:textFill>
                  <w14:solidFill>
                    <w14:schemeClr w14:val="tx1"/>
                  </w14:solidFill>
                </w14:textFill>
              </w:rPr>
              <w:t>总体要求：</w:t>
            </w:r>
            <w:r>
              <w:rPr>
                <w:rFonts w:hint="eastAsia" w:ascii="宋体" w:hAnsi="宋体" w:eastAsia="宋体" w:cs="宋体"/>
                <w:color w:val="000000" w:themeColor="text1"/>
                <w:sz w:val="24"/>
                <w:szCs w:val="24"/>
                <w:lang w:val="en-US" w:eastAsia="zh-CN"/>
                <w14:textFill>
                  <w14:solidFill>
                    <w14:schemeClr w14:val="tx1"/>
                  </w14:solidFill>
                </w14:textFill>
              </w:rPr>
              <w:t>1、新生儿呼吸机</w:t>
            </w:r>
            <w:r>
              <w:rPr>
                <w:rFonts w:hint="eastAsia" w:ascii="宋体" w:hAnsi="宋体" w:eastAsia="宋体" w:cs="宋体"/>
                <w:color w:val="000000" w:themeColor="text1"/>
                <w:sz w:val="24"/>
                <w:szCs w:val="24"/>
                <w:lang w:eastAsia="zh-CN"/>
                <w14:textFill>
                  <w14:solidFill>
                    <w14:schemeClr w14:val="tx1"/>
                  </w14:solidFill>
                </w14:textFill>
              </w:rPr>
              <w:t>具有有效的医疗器械注册证明（提供注册证明文件）。</w:t>
            </w:r>
          </w:p>
        </w:tc>
      </w:tr>
      <w:tr w14:paraId="318404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6" w:hRule="atLeast"/>
        </w:trPr>
        <w:tc>
          <w:tcPr>
            <w:tcW w:w="1173" w:type="dxa"/>
            <w:vAlign w:val="center"/>
          </w:tcPr>
          <w:p w14:paraId="026A058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813" w:type="dxa"/>
            <w:vAlign w:val="center"/>
          </w:tcPr>
          <w:p w14:paraId="742A7E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p>
        </w:tc>
        <w:tc>
          <w:tcPr>
            <w:tcW w:w="6853" w:type="dxa"/>
            <w:vAlign w:val="center"/>
          </w:tcPr>
          <w:p w14:paraId="03D8E6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2、适用范围</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适用于新生儿、早产儿及体重25kg以下儿童使用；无专机专用耗材；</w:t>
            </w:r>
          </w:p>
        </w:tc>
      </w:tr>
      <w:tr w14:paraId="416595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3D4D5D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813" w:type="dxa"/>
            <w:vAlign w:val="center"/>
          </w:tcPr>
          <w:p w14:paraId="71FC1B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p>
        </w:tc>
        <w:tc>
          <w:tcPr>
            <w:tcW w:w="6853" w:type="dxa"/>
            <w:vAlign w:val="center"/>
          </w:tcPr>
          <w:p w14:paraId="5DA2C3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u w:val="none"/>
                <w:lang w:eastAsia="zh-CN"/>
                <w14:textFill>
                  <w14:solidFill>
                    <w14:schemeClr w14:val="tx1"/>
                  </w14:solidFill>
                </w14:textFill>
              </w:rPr>
              <w:t>整机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保修期≥5年</w:t>
            </w:r>
            <w:r>
              <w:rPr>
                <w:rFonts w:hint="eastAsia" w:ascii="宋体" w:hAnsi="宋体" w:eastAsia="宋体" w:cs="宋体"/>
                <w:color w:val="000000" w:themeColor="text1"/>
                <w:sz w:val="24"/>
                <w:szCs w:val="24"/>
                <w:highlight w:val="none"/>
                <w:lang w:val="en-US" w:eastAsia="zh-CN"/>
                <w14:textFill>
                  <w14:solidFill>
                    <w14:schemeClr w14:val="tx1"/>
                  </w14:solidFill>
                </w14:textFill>
              </w:rPr>
              <w:t>，故障发生后2小时内响应，48小时内工程师上门服务；保期内提供每年至少两次预防性维护，费用均包含在投标报价中；</w:t>
            </w:r>
            <w:bookmarkStart w:id="0" w:name="_GoBack"/>
            <w:bookmarkEnd w:id="0"/>
          </w:p>
        </w:tc>
      </w:tr>
      <w:tr w14:paraId="39D96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3986C9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2612B4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p>
        </w:tc>
        <w:tc>
          <w:tcPr>
            <w:tcW w:w="6853" w:type="dxa"/>
            <w:vAlign w:val="center"/>
          </w:tcPr>
          <w:p w14:paraId="073682E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①</w:t>
            </w:r>
            <w:r>
              <w:rPr>
                <w:rFonts w:hint="eastAsia" w:ascii="宋体" w:hAnsi="宋体" w:eastAsia="宋体" w:cs="宋体"/>
                <w:color w:val="000000" w:themeColor="text1"/>
                <w:sz w:val="24"/>
                <w:szCs w:val="24"/>
                <w:highlight w:val="none"/>
                <w:lang w:val="en-US" w:eastAsia="zh-CN"/>
                <w14:textFill>
                  <w14:solidFill>
                    <w14:schemeClr w14:val="tx1"/>
                  </w14:solidFill>
                </w14:textFill>
              </w:rPr>
              <w:t>设备主机使用年限≥10年，（提供同型号产品铭牌/标签或使用说明书等证明）；②配套呼吸管路为可重复性使用管路；</w:t>
            </w:r>
          </w:p>
        </w:tc>
      </w:tr>
      <w:tr w14:paraId="310ABA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177387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396306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p>
        </w:tc>
        <w:tc>
          <w:tcPr>
            <w:tcW w:w="6853" w:type="dxa"/>
            <w:vAlign w:val="center"/>
          </w:tcPr>
          <w:p w14:paraId="44DC05F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5、设备交货日期不得超过生产日期后6个月；</w:t>
            </w:r>
          </w:p>
        </w:tc>
      </w:tr>
      <w:tr w14:paraId="6758D2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6162E0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813" w:type="dxa"/>
            <w:vAlign w:val="center"/>
          </w:tcPr>
          <w:p w14:paraId="71E0F4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p>
        </w:tc>
        <w:tc>
          <w:tcPr>
            <w:tcW w:w="6853" w:type="dxa"/>
            <w:vAlign w:val="center"/>
          </w:tcPr>
          <w:p w14:paraId="7669DB8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6、所投设备为非召回、非停产设备；</w:t>
            </w:r>
          </w:p>
        </w:tc>
      </w:tr>
      <w:tr w14:paraId="6E25D6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2F8214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813" w:type="dxa"/>
            <w:vAlign w:val="center"/>
          </w:tcPr>
          <w:p w14:paraId="6EADBD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p>
        </w:tc>
        <w:tc>
          <w:tcPr>
            <w:tcW w:w="6853" w:type="dxa"/>
            <w:vAlign w:val="center"/>
          </w:tcPr>
          <w:p w14:paraId="7D97F15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7、可连接医院的东华HIS系统，连接系统所需的一切费用均包含在报价中；</w:t>
            </w:r>
          </w:p>
        </w:tc>
      </w:tr>
      <w:tr w14:paraId="62CDD3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13EE11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1AFA61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p>
        </w:tc>
        <w:tc>
          <w:tcPr>
            <w:tcW w:w="6853" w:type="dxa"/>
            <w:vAlign w:val="center"/>
          </w:tcPr>
          <w:p w14:paraId="13AC615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二、主要</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技术参数要求（达到或优于）</w:t>
            </w:r>
          </w:p>
          <w:p w14:paraId="24B1AB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1、通气控制：具备无创通气、常频通气和高频通气；常频通气模式下至少两种呼吸模式同时具备容量保证VTG和容量限制（VTLimit）功能；高频模式下具备容量保证（VTG）功能；</w:t>
            </w:r>
          </w:p>
        </w:tc>
      </w:tr>
      <w:tr w14:paraId="2CA923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17" w:hRule="atLeast"/>
        </w:trPr>
        <w:tc>
          <w:tcPr>
            <w:tcW w:w="1173" w:type="dxa"/>
            <w:vAlign w:val="center"/>
          </w:tcPr>
          <w:p w14:paraId="1626E1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7FEBFC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p>
        </w:tc>
        <w:tc>
          <w:tcPr>
            <w:tcW w:w="6853" w:type="dxa"/>
            <w:vAlign w:val="center"/>
          </w:tcPr>
          <w:p w14:paraId="436FB49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2、</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常频通气技术参数：</w:t>
            </w:r>
          </w:p>
          <w:p w14:paraId="3EC87BB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2.1通气模式：间歇正压通气/间歇指令通气(IPPV/IMV)、同步间歇正压(SIPPV)、同步间歇指令(SIMV)+Psupport（压力支持）、辅助控制通气（A/C模式）、压力支持通气 PSV（PSV+SIPPV）、持续正压通气CPAP；</w:t>
            </w:r>
          </w:p>
        </w:tc>
      </w:tr>
      <w:tr w14:paraId="51C4CF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7AF6FF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4BAC9D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p>
        </w:tc>
        <w:tc>
          <w:tcPr>
            <w:tcW w:w="6853" w:type="dxa"/>
            <w:vAlign w:val="center"/>
          </w:tcPr>
          <w:p w14:paraId="4CD18C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2.2常频通气容量保证最小可设置到: 0.9ml；</w:t>
            </w:r>
          </w:p>
        </w:tc>
      </w:tr>
      <w:tr w14:paraId="375E22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4CA24A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5C5FA0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w:t>
            </w:r>
          </w:p>
        </w:tc>
        <w:tc>
          <w:tcPr>
            <w:tcW w:w="6853" w:type="dxa"/>
            <w:vAlign w:val="center"/>
          </w:tcPr>
          <w:p w14:paraId="2793BD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2.3触发方式：至少有流速触发和压力触发；最小流速触发可设置到:0.2L/min；</w:t>
            </w:r>
          </w:p>
        </w:tc>
      </w:tr>
      <w:tr w14:paraId="29242D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43" w:hRule="atLeast"/>
        </w:trPr>
        <w:tc>
          <w:tcPr>
            <w:tcW w:w="1173" w:type="dxa"/>
            <w:vAlign w:val="center"/>
          </w:tcPr>
          <w:p w14:paraId="738322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61BC71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w:t>
            </w:r>
          </w:p>
        </w:tc>
        <w:tc>
          <w:tcPr>
            <w:tcW w:w="6853" w:type="dxa"/>
            <w:vAlign w:val="center"/>
          </w:tcPr>
          <w:p w14:paraId="7F8AA17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4吸气流量:6</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20L/min，可手动调节流量数值；</w:t>
            </w:r>
          </w:p>
        </w:tc>
      </w:tr>
      <w:tr w14:paraId="5AED7A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5" w:hRule="atLeast"/>
        </w:trPr>
        <w:tc>
          <w:tcPr>
            <w:tcW w:w="1173" w:type="dxa"/>
            <w:vAlign w:val="center"/>
          </w:tcPr>
          <w:p w14:paraId="40F4C0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54B73B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w:t>
            </w:r>
          </w:p>
        </w:tc>
        <w:tc>
          <w:tcPr>
            <w:tcW w:w="6853" w:type="dxa"/>
            <w:vAlign w:val="center"/>
          </w:tcPr>
          <w:p w14:paraId="20B5517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2.5呼气流量:6</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20L/min，可手动调节流量数值；</w:t>
            </w:r>
          </w:p>
        </w:tc>
      </w:tr>
      <w:tr w14:paraId="72C892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5" w:hRule="atLeast"/>
        </w:trPr>
        <w:tc>
          <w:tcPr>
            <w:tcW w:w="1173" w:type="dxa"/>
            <w:vAlign w:val="center"/>
          </w:tcPr>
          <w:p w14:paraId="366A8D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50A93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w:t>
            </w:r>
          </w:p>
        </w:tc>
        <w:tc>
          <w:tcPr>
            <w:tcW w:w="6853" w:type="dxa"/>
            <w:vAlign w:val="center"/>
          </w:tcPr>
          <w:p w14:paraId="2AE93EB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2.6SIPPV和SIMV模式都具备容量保证Vtg容量限制Limit功能；</w:t>
            </w:r>
          </w:p>
        </w:tc>
      </w:tr>
      <w:tr w14:paraId="71E9A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78" w:hRule="atLeast"/>
        </w:trPr>
        <w:tc>
          <w:tcPr>
            <w:tcW w:w="1173" w:type="dxa"/>
            <w:vAlign w:val="center"/>
          </w:tcPr>
          <w:p w14:paraId="74857A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4CFAF3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w:t>
            </w:r>
          </w:p>
        </w:tc>
        <w:tc>
          <w:tcPr>
            <w:tcW w:w="6853" w:type="dxa"/>
            <w:vAlign w:val="center"/>
          </w:tcPr>
          <w:p w14:paraId="56630BE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高频通气技术参数：</w:t>
            </w:r>
          </w:p>
          <w:p w14:paraId="361F8D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3.1平均气道压：调节范围0.2</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30cmH2O，最小调节步长</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0.1cmH2O；</w:t>
            </w:r>
          </w:p>
        </w:tc>
      </w:tr>
      <w:tr w14:paraId="5E9E4B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87" w:hRule="atLeast"/>
        </w:trPr>
        <w:tc>
          <w:tcPr>
            <w:tcW w:w="1173" w:type="dxa"/>
            <w:vAlign w:val="center"/>
          </w:tcPr>
          <w:p w14:paraId="44EFFF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713942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16</w:t>
            </w:r>
          </w:p>
        </w:tc>
        <w:tc>
          <w:tcPr>
            <w:tcW w:w="6853" w:type="dxa"/>
            <w:vAlign w:val="center"/>
          </w:tcPr>
          <w:p w14:paraId="2D8FC5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3.2振荡频率：5</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15 Hz，频率的设置与振幅的设置范围互不干扰；</w:t>
            </w:r>
          </w:p>
        </w:tc>
      </w:tr>
      <w:tr w14:paraId="4B0F50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12AA23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595848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17</w:t>
            </w:r>
          </w:p>
        </w:tc>
        <w:tc>
          <w:tcPr>
            <w:tcW w:w="6853" w:type="dxa"/>
            <w:vAlign w:val="center"/>
          </w:tcPr>
          <w:p w14:paraId="473AF6C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3.3</w:t>
            </w:r>
            <w:r>
              <w:rPr>
                <w:rFonts w:hint="eastAsia" w:ascii="宋体" w:hAnsi="宋体" w:eastAsia="宋体" w:cs="宋体"/>
                <w:color w:val="000000" w:themeColor="text1"/>
                <w:sz w:val="24"/>
                <w:szCs w:val="24"/>
                <w:highlight w:val="none"/>
                <w:lang w:val="en-US" w:eastAsia="zh-CN"/>
                <w14:textFill>
                  <w14:solidFill>
                    <w14:schemeClr w14:val="tx1"/>
                  </w14:solidFill>
                </w14:textFill>
              </w:rPr>
              <w:tab/>
            </w:r>
            <w:r>
              <w:rPr>
                <w:rFonts w:hint="eastAsia" w:ascii="宋体" w:hAnsi="宋体" w:eastAsia="宋体" w:cs="宋体"/>
                <w:color w:val="000000" w:themeColor="text1"/>
                <w:sz w:val="24"/>
                <w:szCs w:val="24"/>
                <w:highlight w:val="none"/>
                <w:lang w:val="en-US" w:eastAsia="zh-CN"/>
                <w14:textFill>
                  <w14:solidFill>
                    <w14:schemeClr w14:val="tx1"/>
                  </w14:solidFill>
                </w14:textFill>
              </w:rPr>
              <w:t>振荡振幅：5</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100cmH2O（单独蓄电池供电时振幅可设置值≥80cmH2O）；</w:t>
            </w:r>
          </w:p>
        </w:tc>
      </w:tr>
      <w:tr w14:paraId="6EFDC5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63FEF0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483378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18</w:t>
            </w:r>
          </w:p>
        </w:tc>
        <w:tc>
          <w:tcPr>
            <w:tcW w:w="6853" w:type="dxa"/>
            <w:vAlign w:val="center"/>
          </w:tcPr>
          <w:p w14:paraId="58D8F6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3.4振荡负压： ≤-30 cmH2O；</w:t>
            </w:r>
          </w:p>
        </w:tc>
      </w:tr>
      <w:tr w14:paraId="2646A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173" w:type="dxa"/>
            <w:vAlign w:val="center"/>
          </w:tcPr>
          <w:p w14:paraId="48F765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560912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19</w:t>
            </w:r>
          </w:p>
        </w:tc>
        <w:tc>
          <w:tcPr>
            <w:tcW w:w="6853" w:type="dxa"/>
            <w:vAlign w:val="center"/>
          </w:tcPr>
          <w:p w14:paraId="1E7D4E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3.5高频可实现手动肺复张和机控肺复张；</w:t>
            </w:r>
          </w:p>
        </w:tc>
      </w:tr>
      <w:tr w14:paraId="46211E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1" w:hRule="atLeast"/>
        </w:trPr>
        <w:tc>
          <w:tcPr>
            <w:tcW w:w="1173" w:type="dxa"/>
            <w:vAlign w:val="center"/>
          </w:tcPr>
          <w:p w14:paraId="35BE4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7DE0C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20</w:t>
            </w:r>
          </w:p>
        </w:tc>
        <w:tc>
          <w:tcPr>
            <w:tcW w:w="6853" w:type="dxa"/>
            <w:vAlign w:val="center"/>
          </w:tcPr>
          <w:p w14:paraId="368367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3.6高频模式容量保证最小可设置到1 ml；</w:t>
            </w:r>
          </w:p>
        </w:tc>
      </w:tr>
      <w:tr w14:paraId="020535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3" w:hRule="atLeast"/>
        </w:trPr>
        <w:tc>
          <w:tcPr>
            <w:tcW w:w="1173" w:type="dxa"/>
            <w:vAlign w:val="center"/>
          </w:tcPr>
          <w:p w14:paraId="09A64C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39F0AB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w:t>
            </w:r>
          </w:p>
        </w:tc>
        <w:tc>
          <w:tcPr>
            <w:tcW w:w="6853" w:type="dxa"/>
            <w:vAlign w:val="center"/>
          </w:tcPr>
          <w:p w14:paraId="388B39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3.7高频模式具备可调吸呼比；</w:t>
            </w:r>
          </w:p>
        </w:tc>
      </w:tr>
      <w:tr w14:paraId="01F6E6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31" w:hRule="exact"/>
        </w:trPr>
        <w:tc>
          <w:tcPr>
            <w:tcW w:w="1173" w:type="dxa"/>
            <w:vAlign w:val="center"/>
          </w:tcPr>
          <w:p w14:paraId="5041D9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2B6313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w:t>
            </w:r>
          </w:p>
        </w:tc>
        <w:tc>
          <w:tcPr>
            <w:tcW w:w="6853" w:type="dxa"/>
            <w:vAlign w:val="top"/>
          </w:tcPr>
          <w:p w14:paraId="6BD5518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4、</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呼吸机主要监测功能：</w:t>
            </w:r>
          </w:p>
          <w:p w14:paraId="2772D99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4.1同屏显示压力（P）、容量（V）、流速（flow）呼吸参数波形；</w:t>
            </w:r>
          </w:p>
        </w:tc>
      </w:tr>
      <w:tr w14:paraId="6644F8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3" w:hRule="exact"/>
        </w:trPr>
        <w:tc>
          <w:tcPr>
            <w:tcW w:w="1173" w:type="dxa"/>
            <w:vAlign w:val="center"/>
          </w:tcPr>
          <w:p w14:paraId="5DFE30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0D43D3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23</w:t>
            </w:r>
          </w:p>
        </w:tc>
        <w:tc>
          <w:tcPr>
            <w:tcW w:w="6853" w:type="dxa"/>
            <w:vAlign w:val="top"/>
          </w:tcPr>
          <w:p w14:paraId="01D195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4.2具备三个肺功能环：P/V环、P/Flow环、V/Flow肺功能环；</w:t>
            </w:r>
          </w:p>
        </w:tc>
      </w:tr>
      <w:tr w14:paraId="252E1C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75" w:hRule="exact"/>
        </w:trPr>
        <w:tc>
          <w:tcPr>
            <w:tcW w:w="1173" w:type="dxa"/>
            <w:vAlign w:val="center"/>
          </w:tcPr>
          <w:p w14:paraId="222DC5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4869C0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24</w:t>
            </w:r>
          </w:p>
        </w:tc>
        <w:tc>
          <w:tcPr>
            <w:tcW w:w="6853" w:type="dxa"/>
            <w:vAlign w:val="top"/>
          </w:tcPr>
          <w:p w14:paraId="46AF70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4.3</w:t>
            </w:r>
            <w:r>
              <w:rPr>
                <w:rFonts w:hint="eastAsia" w:ascii="宋体" w:hAnsi="宋体" w:eastAsia="宋体" w:cs="宋体"/>
                <w:color w:val="000000" w:themeColor="text1"/>
                <w:sz w:val="24"/>
                <w:szCs w:val="24"/>
                <w:highlight w:val="none"/>
                <w:lang w:val="en-US" w:eastAsia="zh-CN"/>
                <w14:textFill>
                  <w14:solidFill>
                    <w14:schemeClr w14:val="tx1"/>
                  </w14:solidFill>
                </w14:textFill>
              </w:rPr>
              <w:tab/>
            </w:r>
            <w:r>
              <w:rPr>
                <w:rFonts w:hint="eastAsia" w:ascii="宋体" w:hAnsi="宋体" w:eastAsia="宋体" w:cs="宋体"/>
                <w:color w:val="000000" w:themeColor="text1"/>
                <w:sz w:val="24"/>
                <w:szCs w:val="24"/>
                <w:highlight w:val="none"/>
                <w:lang w:val="en-US" w:eastAsia="zh-CN"/>
                <w14:textFill>
                  <w14:solidFill>
                    <w14:schemeClr w14:val="tx1"/>
                  </w14:solidFill>
                </w14:textFill>
              </w:rPr>
              <w:t>至少可以同屏显示三道呼吸波形和两个肺功能环，方便对比研究肺功能情况；</w:t>
            </w:r>
          </w:p>
        </w:tc>
      </w:tr>
      <w:tr w14:paraId="6372AB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98" w:hRule="exact"/>
        </w:trPr>
        <w:tc>
          <w:tcPr>
            <w:tcW w:w="1173" w:type="dxa"/>
            <w:vAlign w:val="center"/>
          </w:tcPr>
          <w:p w14:paraId="70EB8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453C9D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25</w:t>
            </w:r>
          </w:p>
        </w:tc>
        <w:tc>
          <w:tcPr>
            <w:tcW w:w="6853" w:type="dxa"/>
            <w:vAlign w:val="center"/>
          </w:tcPr>
          <w:p w14:paraId="1D77C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4.4监测参数： </w:t>
            </w:r>
          </w:p>
          <w:p w14:paraId="67B26F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1）压力显示：PEEP(呼气末气道正压),Pmax（气道峰压）,Pmean（平均气道压）,Posc（震荡压）；</w:t>
            </w:r>
          </w:p>
          <w:p w14:paraId="028F9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2）容量显示：MV（分钟通气量）,VTe（呼出潮气量）,VTi（吸入潮气量）,Vleak（漏气量）,Vo（震荡潮气量）,Mvo（震荡分钟通气量）；</w:t>
            </w:r>
          </w:p>
          <w:p w14:paraId="55FA55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3）呼吸频率，吸气时间百分比，吸入氧浓度，吸入气体温度，气道阻力和肺顺应性等参数；</w:t>
            </w:r>
          </w:p>
        </w:tc>
      </w:tr>
      <w:tr w14:paraId="21310A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95" w:hRule="exact"/>
        </w:trPr>
        <w:tc>
          <w:tcPr>
            <w:tcW w:w="1173" w:type="dxa"/>
            <w:vAlign w:val="center"/>
          </w:tcPr>
          <w:p w14:paraId="5E1E3B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55E8C7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26</w:t>
            </w:r>
          </w:p>
        </w:tc>
        <w:tc>
          <w:tcPr>
            <w:tcW w:w="6853" w:type="dxa"/>
            <w:vAlign w:val="top"/>
          </w:tcPr>
          <w:p w14:paraId="18639B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5、</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无创通气技术参数：</w:t>
            </w:r>
          </w:p>
          <w:p w14:paraId="11B0AD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5.1通气模式：无创持续正压通气nCPAP；无创间歇正压通气nIPPV；无创高频通气nHFO；高流量氧疗HiFlow；</w:t>
            </w:r>
          </w:p>
        </w:tc>
      </w:tr>
      <w:tr w14:paraId="385BA0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1" w:hRule="exact"/>
        </w:trPr>
        <w:tc>
          <w:tcPr>
            <w:tcW w:w="1173" w:type="dxa"/>
            <w:vAlign w:val="center"/>
          </w:tcPr>
          <w:p w14:paraId="442C84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813" w:type="dxa"/>
            <w:vAlign w:val="center"/>
          </w:tcPr>
          <w:p w14:paraId="2F9B6E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27</w:t>
            </w:r>
          </w:p>
        </w:tc>
        <w:tc>
          <w:tcPr>
            <w:tcW w:w="6853" w:type="dxa"/>
            <w:vAlign w:val="top"/>
          </w:tcPr>
          <w:p w14:paraId="02BC4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5.2无创nIPPV和nCPAP模式下，具备自动和手动两种调节吸气流量和呼气流量的方式；</w:t>
            </w:r>
          </w:p>
        </w:tc>
      </w:tr>
      <w:tr w14:paraId="723CB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9" w:hRule="exact"/>
        </w:trPr>
        <w:tc>
          <w:tcPr>
            <w:tcW w:w="1173" w:type="dxa"/>
            <w:vAlign w:val="center"/>
          </w:tcPr>
          <w:p w14:paraId="3BBEE7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032032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28</w:t>
            </w:r>
          </w:p>
        </w:tc>
        <w:tc>
          <w:tcPr>
            <w:tcW w:w="6853" w:type="dxa"/>
            <w:vAlign w:val="top"/>
          </w:tcPr>
          <w:p w14:paraId="7E53FB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5.3具备无创间歇正压通气nIPPV模式，PIP峰压大于20cmH2O；</w:t>
            </w:r>
          </w:p>
        </w:tc>
      </w:tr>
      <w:tr w14:paraId="15A0AF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83" w:hRule="exact"/>
        </w:trPr>
        <w:tc>
          <w:tcPr>
            <w:tcW w:w="1173" w:type="dxa"/>
            <w:vAlign w:val="center"/>
          </w:tcPr>
          <w:p w14:paraId="195D25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3C41E8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p>
        </w:tc>
        <w:tc>
          <w:tcPr>
            <w:tcW w:w="6853" w:type="dxa"/>
            <w:vAlign w:val="top"/>
          </w:tcPr>
          <w:p w14:paraId="53AD83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5.4监测参数：压力（气道峰压、平均压、呼末正压/气道压力）、氧浓度、流量、自主呼吸频率、呼气时间、吸呼比等。图形显示：压力－时间波形、流量柱状图显示流量；</w:t>
            </w:r>
          </w:p>
        </w:tc>
      </w:tr>
      <w:tr w14:paraId="0E87DA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71" w:hRule="exact"/>
        </w:trPr>
        <w:tc>
          <w:tcPr>
            <w:tcW w:w="1173" w:type="dxa"/>
            <w:vAlign w:val="center"/>
          </w:tcPr>
          <w:p w14:paraId="7CEE40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1CF30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30</w:t>
            </w:r>
          </w:p>
        </w:tc>
        <w:tc>
          <w:tcPr>
            <w:tcW w:w="6853" w:type="dxa"/>
            <w:vAlign w:val="top"/>
          </w:tcPr>
          <w:p w14:paraId="736C8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5.5内置电子空氧混合器，氧浓度调节范围：21%-100%，精度±3%</w:t>
            </w:r>
          </w:p>
        </w:tc>
      </w:tr>
      <w:tr w14:paraId="5ECF5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71" w:hRule="exact"/>
        </w:trPr>
        <w:tc>
          <w:tcPr>
            <w:tcW w:w="1173" w:type="dxa"/>
            <w:vAlign w:val="center"/>
          </w:tcPr>
          <w:p w14:paraId="6EADC3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317315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w:t>
            </w:r>
          </w:p>
        </w:tc>
        <w:tc>
          <w:tcPr>
            <w:tcW w:w="6853" w:type="dxa"/>
            <w:vAlign w:val="top"/>
          </w:tcPr>
          <w:p w14:paraId="552259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5.6内置氧传感器，监测范围0-100%，精度±2%。正常通气时可进行氧浓度在线校准，校准时不影响正常通气；</w:t>
            </w:r>
          </w:p>
        </w:tc>
      </w:tr>
      <w:tr w14:paraId="001695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71" w:hRule="exact"/>
        </w:trPr>
        <w:tc>
          <w:tcPr>
            <w:tcW w:w="1173" w:type="dxa"/>
            <w:vAlign w:val="center"/>
          </w:tcPr>
          <w:p w14:paraId="33F2B2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05D3C6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w:t>
            </w:r>
          </w:p>
        </w:tc>
        <w:tc>
          <w:tcPr>
            <w:tcW w:w="6853" w:type="dxa"/>
            <w:vAlign w:val="top"/>
          </w:tcPr>
          <w:p w14:paraId="6B507E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5.7提供和呼吸机主机同品牌的压力发生器，提供近鼻端压力监测；</w:t>
            </w:r>
          </w:p>
        </w:tc>
      </w:tr>
      <w:tr w14:paraId="5B718B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9" w:hRule="exact"/>
        </w:trPr>
        <w:tc>
          <w:tcPr>
            <w:tcW w:w="1173" w:type="dxa"/>
            <w:vAlign w:val="center"/>
          </w:tcPr>
          <w:p w14:paraId="34BD9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105CDF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33</w:t>
            </w:r>
          </w:p>
        </w:tc>
        <w:tc>
          <w:tcPr>
            <w:tcW w:w="6853" w:type="dxa"/>
            <w:vAlign w:val="top"/>
          </w:tcPr>
          <w:p w14:paraId="45AB59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5.8呼吸监测：不需要额外传感器即可测量自主呼吸频率；</w:t>
            </w:r>
          </w:p>
        </w:tc>
      </w:tr>
      <w:tr w14:paraId="466FDC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39" w:hRule="exact"/>
        </w:trPr>
        <w:tc>
          <w:tcPr>
            <w:tcW w:w="1173" w:type="dxa"/>
            <w:vAlign w:val="center"/>
          </w:tcPr>
          <w:p w14:paraId="1196E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05176D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34</w:t>
            </w:r>
          </w:p>
        </w:tc>
        <w:tc>
          <w:tcPr>
            <w:tcW w:w="6853" w:type="dxa"/>
            <w:vAlign w:val="top"/>
          </w:tcPr>
          <w:p w14:paraId="58BC1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6、湿化系统：标配两套分体式湿化系统或者一体化湿化系统，双加热重复性呼吸管路，可根据客户需求选配不同型号，可手动调节温度和湿度，保证最佳的湿化，减少管路里冷凝水的产生。减少使用成本；</w:t>
            </w:r>
          </w:p>
        </w:tc>
      </w:tr>
      <w:tr w14:paraId="00DB3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45" w:hRule="exact"/>
        </w:trPr>
        <w:tc>
          <w:tcPr>
            <w:tcW w:w="1173" w:type="dxa"/>
            <w:vAlign w:val="center"/>
          </w:tcPr>
          <w:p w14:paraId="14EEDB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7C9608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35</w:t>
            </w:r>
          </w:p>
        </w:tc>
        <w:tc>
          <w:tcPr>
            <w:tcW w:w="6853" w:type="dxa"/>
            <w:vAlign w:val="top"/>
          </w:tcPr>
          <w:p w14:paraId="1A6131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7、提供快氧通气功能：最长时间不少于120s，增氧浓度22%-100% 连续可调；</w:t>
            </w:r>
          </w:p>
        </w:tc>
      </w:tr>
      <w:tr w14:paraId="2041CE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51" w:hRule="exact"/>
        </w:trPr>
        <w:tc>
          <w:tcPr>
            <w:tcW w:w="1173" w:type="dxa"/>
            <w:vAlign w:val="center"/>
          </w:tcPr>
          <w:p w14:paraId="3F8AF4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t>
            </w:r>
          </w:p>
        </w:tc>
        <w:tc>
          <w:tcPr>
            <w:tcW w:w="813" w:type="dxa"/>
            <w:vAlign w:val="center"/>
          </w:tcPr>
          <w:p w14:paraId="668BFE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36</w:t>
            </w:r>
          </w:p>
        </w:tc>
        <w:tc>
          <w:tcPr>
            <w:tcW w:w="6853" w:type="dxa"/>
            <w:vAlign w:val="top"/>
          </w:tcPr>
          <w:p w14:paraId="24E51C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8、提供手动通气功能，通气时间1s-60s可调，气道压力范围0.2-30cmH2O，手动通气流量调节范围2.0～20L/min。（需提供注册检验报告证明）；</w:t>
            </w:r>
          </w:p>
        </w:tc>
      </w:tr>
      <w:tr w14:paraId="41C20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97" w:hRule="exact"/>
        </w:trPr>
        <w:tc>
          <w:tcPr>
            <w:tcW w:w="1173" w:type="dxa"/>
            <w:vAlign w:val="center"/>
          </w:tcPr>
          <w:p w14:paraId="4615F9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6E1157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37</w:t>
            </w:r>
          </w:p>
        </w:tc>
        <w:tc>
          <w:tcPr>
            <w:tcW w:w="6853" w:type="dxa"/>
            <w:vAlign w:val="top"/>
          </w:tcPr>
          <w:p w14:paraId="071954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9、具有自动泄漏补偿功能；</w:t>
            </w:r>
          </w:p>
        </w:tc>
      </w:tr>
      <w:tr w14:paraId="46F2AC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trPr>
        <w:tc>
          <w:tcPr>
            <w:tcW w:w="1173" w:type="dxa"/>
            <w:vAlign w:val="center"/>
          </w:tcPr>
          <w:p w14:paraId="48DBCC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05F5D1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38</w:t>
            </w:r>
          </w:p>
        </w:tc>
        <w:tc>
          <w:tcPr>
            <w:tcW w:w="6853" w:type="dxa"/>
            <w:vAlign w:val="top"/>
          </w:tcPr>
          <w:p w14:paraId="60B39F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10、报警：具有手动/自动设置报警上下限功能；</w:t>
            </w:r>
          </w:p>
        </w:tc>
      </w:tr>
      <w:tr w14:paraId="14D012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85" w:hRule="exact"/>
        </w:trPr>
        <w:tc>
          <w:tcPr>
            <w:tcW w:w="1173" w:type="dxa"/>
            <w:vAlign w:val="center"/>
          </w:tcPr>
          <w:p w14:paraId="7B0A1E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43701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39</w:t>
            </w:r>
          </w:p>
        </w:tc>
        <w:tc>
          <w:tcPr>
            <w:tcW w:w="6853" w:type="dxa"/>
            <w:vAlign w:val="top"/>
          </w:tcPr>
          <w:p w14:paraId="2D1FF8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11、具有日志功能、趋势图和趋势表功能，并支持存储和导出功能；</w:t>
            </w:r>
          </w:p>
        </w:tc>
      </w:tr>
      <w:tr w14:paraId="369CF1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7" w:hRule="exact"/>
        </w:trPr>
        <w:tc>
          <w:tcPr>
            <w:tcW w:w="1173" w:type="dxa"/>
            <w:vAlign w:val="center"/>
          </w:tcPr>
          <w:p w14:paraId="4B35C4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431445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40</w:t>
            </w:r>
          </w:p>
        </w:tc>
        <w:tc>
          <w:tcPr>
            <w:tcW w:w="6853" w:type="dxa"/>
            <w:vAlign w:val="top"/>
          </w:tcPr>
          <w:p w14:paraId="23AFDB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12、内置大容量锂电池，充满可使用≥1小时；</w:t>
            </w:r>
          </w:p>
        </w:tc>
      </w:tr>
      <w:tr w14:paraId="65AB42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7" w:hRule="exact"/>
        </w:trPr>
        <w:tc>
          <w:tcPr>
            <w:tcW w:w="1173" w:type="dxa"/>
            <w:vAlign w:val="center"/>
          </w:tcPr>
          <w:p w14:paraId="24B701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7FC756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41</w:t>
            </w:r>
          </w:p>
        </w:tc>
        <w:tc>
          <w:tcPr>
            <w:tcW w:w="6853" w:type="dxa"/>
            <w:vAlign w:val="top"/>
          </w:tcPr>
          <w:p w14:paraId="722C1D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13、提供系统自检功能，图形化提示操作功能；</w:t>
            </w:r>
          </w:p>
        </w:tc>
      </w:tr>
      <w:tr w14:paraId="2C7395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7" w:hRule="exact"/>
        </w:trPr>
        <w:tc>
          <w:tcPr>
            <w:tcW w:w="1173" w:type="dxa"/>
            <w:vAlign w:val="center"/>
          </w:tcPr>
          <w:p w14:paraId="737B6F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813" w:type="dxa"/>
            <w:vAlign w:val="center"/>
          </w:tcPr>
          <w:p w14:paraId="21C113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42</w:t>
            </w:r>
          </w:p>
        </w:tc>
        <w:tc>
          <w:tcPr>
            <w:tcW w:w="6853" w:type="dxa"/>
            <w:vAlign w:val="top"/>
          </w:tcPr>
          <w:p w14:paraId="322AE3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14、要求具有空气气源内置积水杯，并具有观察窗口；</w:t>
            </w:r>
          </w:p>
        </w:tc>
      </w:tr>
      <w:tr w14:paraId="41469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18" w:hRule="atLeast"/>
        </w:trPr>
        <w:tc>
          <w:tcPr>
            <w:tcW w:w="1173" w:type="dxa"/>
            <w:vAlign w:val="center"/>
          </w:tcPr>
          <w:p w14:paraId="6CEA57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813" w:type="dxa"/>
            <w:vAlign w:val="center"/>
          </w:tcPr>
          <w:p w14:paraId="5C8310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43</w:t>
            </w:r>
          </w:p>
        </w:tc>
        <w:tc>
          <w:tcPr>
            <w:tcW w:w="6853" w:type="dxa"/>
            <w:vAlign w:val="center"/>
          </w:tcPr>
          <w:p w14:paraId="04B54FA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jc w:val="both"/>
              <w:textAlignment w:val="auto"/>
              <w:rPr>
                <w:rFonts w:hint="eastAsia" w:ascii="宋体" w:hAnsi="宋体" w:eastAsia="宋体" w:cs="宋体"/>
                <w:b/>
                <w:bCs/>
                <w:color w:val="000000" w:themeColor="text1"/>
                <w:sz w:val="24"/>
                <w:szCs w:val="24"/>
                <w:lang w:eastAsia="zh-CN"/>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三、主要</w:t>
            </w:r>
            <w:r>
              <w:rPr>
                <w:rFonts w:hint="eastAsia" w:ascii="宋体" w:hAnsi="宋体" w:eastAsia="宋体" w:cs="宋体"/>
                <w:b/>
                <w:bCs/>
                <w:color w:val="000000" w:themeColor="text1"/>
                <w:sz w:val="24"/>
                <w:szCs w:val="24"/>
                <w14:textFill>
                  <w14:solidFill>
                    <w14:schemeClr w14:val="tx1"/>
                  </w14:solidFill>
                </w14:textFill>
              </w:rPr>
              <w:t>配置清单（单台</w:t>
            </w:r>
            <w:r>
              <w:rPr>
                <w:rFonts w:hint="eastAsia" w:ascii="宋体" w:hAnsi="宋体" w:eastAsia="宋体" w:cs="宋体"/>
                <w:b/>
                <w:bCs/>
                <w:color w:val="000000" w:themeColor="text1"/>
                <w:sz w:val="24"/>
                <w:szCs w:val="24"/>
                <w:lang w:eastAsia="zh-CN"/>
                <w14:textFill>
                  <w14:solidFill>
                    <w14:schemeClr w14:val="tx1"/>
                  </w14:solidFill>
                </w14:textFill>
              </w:rPr>
              <w:t>）</w:t>
            </w:r>
          </w:p>
          <w:tbl>
            <w:tblPr>
              <w:tblStyle w:val="11"/>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55"/>
              <w:gridCol w:w="3288"/>
              <w:gridCol w:w="792"/>
              <w:gridCol w:w="792"/>
            </w:tblGrid>
            <w:tr w14:paraId="41F507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000000" w:sz="4" w:space="0"/>
                    <w:left w:val="single" w:color="000000" w:sz="4" w:space="0"/>
                    <w:bottom w:val="single" w:color="auto" w:sz="4" w:space="0"/>
                    <w:right w:val="single" w:color="000000" w:sz="4" w:space="0"/>
                  </w:tcBorders>
                  <w:tcMar>
                    <w:top w:w="0" w:type="dxa"/>
                    <w:left w:w="105" w:type="dxa"/>
                    <w:bottom w:w="0" w:type="dxa"/>
                    <w:right w:w="105" w:type="dxa"/>
                  </w:tcMar>
                  <w:vAlign w:val="center"/>
                </w:tcPr>
                <w:p w14:paraId="560C6D71">
                  <w:pPr>
                    <w:pStyle w:val="30"/>
                    <w:keepNext w:val="0"/>
                    <w:keepLines w:val="0"/>
                    <w:pageBreakBefore w:val="0"/>
                    <w:kinsoku/>
                    <w:wordWrap/>
                    <w:overflowPunct/>
                    <w:topLinePunct w:val="0"/>
                    <w:autoSpaceDE/>
                    <w:autoSpaceDN/>
                    <w:bidi w:val="0"/>
                    <w:adjustRightInd/>
                    <w:snapToGrid/>
                    <w:spacing w:line="360" w:lineRule="exact"/>
                    <w:jc w:val="center"/>
                    <w:textAlignment w:val="auto"/>
                    <w:rPr>
                      <w:color w:val="000000" w:themeColor="text1"/>
                      <w14:textFill>
                        <w14:solidFill>
                          <w14:schemeClr w14:val="tx1"/>
                        </w14:solidFill>
                      </w14:textFill>
                    </w:rPr>
                  </w:pPr>
                  <w:r>
                    <w:rPr>
                      <w:b/>
                      <w:color w:val="000000" w:themeColor="text1"/>
                      <w:sz w:val="21"/>
                      <w14:textFill>
                        <w14:solidFill>
                          <w14:schemeClr w14:val="tx1"/>
                        </w14:solidFill>
                      </w14:textFill>
                    </w:rPr>
                    <w:t>序号</w:t>
                  </w:r>
                </w:p>
              </w:tc>
              <w:tc>
                <w:tcPr>
                  <w:tcW w:w="3288"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1CB7B980">
                  <w:pPr>
                    <w:pStyle w:val="30"/>
                    <w:keepNext w:val="0"/>
                    <w:keepLines w:val="0"/>
                    <w:pageBreakBefore w:val="0"/>
                    <w:kinsoku/>
                    <w:wordWrap/>
                    <w:overflowPunct/>
                    <w:topLinePunct w:val="0"/>
                    <w:autoSpaceDE/>
                    <w:autoSpaceDN/>
                    <w:bidi w:val="0"/>
                    <w:adjustRightInd/>
                    <w:snapToGrid/>
                    <w:spacing w:line="360" w:lineRule="exact"/>
                    <w:jc w:val="center"/>
                    <w:textAlignment w:val="auto"/>
                    <w:rPr>
                      <w:rFonts w:hint="default" w:eastAsia="宋体"/>
                      <w:color w:val="000000" w:themeColor="text1"/>
                      <w:lang w:val="en-US" w:eastAsia="zh-CN"/>
                      <w14:textFill>
                        <w14:solidFill>
                          <w14:schemeClr w14:val="tx1"/>
                        </w14:solidFill>
                      </w14:textFill>
                    </w:rPr>
                  </w:pPr>
                  <w:r>
                    <w:rPr>
                      <w:rFonts w:hint="eastAsia"/>
                      <w:b/>
                      <w:color w:val="000000" w:themeColor="text1"/>
                      <w:sz w:val="21"/>
                      <w:lang w:val="en-US" w:eastAsia="zh-CN"/>
                      <w14:textFill>
                        <w14:solidFill>
                          <w14:schemeClr w14:val="tx1"/>
                        </w14:solidFill>
                      </w14:textFill>
                    </w:rPr>
                    <w:t>配置名称</w:t>
                  </w:r>
                </w:p>
              </w:tc>
              <w:tc>
                <w:tcPr>
                  <w:tcW w:w="792"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30B2A75F">
                  <w:pPr>
                    <w:pStyle w:val="30"/>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宋体"/>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单位</w:t>
                  </w:r>
                </w:p>
              </w:tc>
              <w:tc>
                <w:tcPr>
                  <w:tcW w:w="792"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75314CF2">
                  <w:pPr>
                    <w:pStyle w:val="30"/>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宋体"/>
                      <w:b/>
                      <w:color w:val="000000" w:themeColor="text1"/>
                      <w:sz w:val="21"/>
                      <w:lang w:val="en-US" w:eastAsia="zh-CN"/>
                      <w14:textFill>
                        <w14:solidFill>
                          <w14:schemeClr w14:val="tx1"/>
                        </w14:solidFill>
                      </w14:textFill>
                    </w:rPr>
                  </w:pPr>
                  <w:r>
                    <w:rPr>
                      <w:rFonts w:hint="eastAsia"/>
                      <w:b/>
                      <w:color w:val="000000" w:themeColor="text1"/>
                      <w:sz w:val="21"/>
                      <w:lang w:val="en-US" w:eastAsia="zh-CN"/>
                      <w14:textFill>
                        <w14:solidFill>
                          <w14:schemeClr w14:val="tx1"/>
                        </w14:solidFill>
                      </w14:textFill>
                    </w:rPr>
                    <w:t>数量</w:t>
                  </w:r>
                </w:p>
              </w:tc>
            </w:tr>
            <w:tr w14:paraId="3553D3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7D2F394">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CF460C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主机</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EF583A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台</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4A72AFB">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r>
            <w:tr w14:paraId="21D35F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A3EBA49">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C4C0A4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主机台车</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BA6898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辆</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BD4AEA4">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r>
            <w:tr w14:paraId="4D3DD6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741"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1B197CF">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922AA1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重复性</w:t>
                  </w:r>
                  <w:r>
                    <w:rPr>
                      <w:rFonts w:hint="eastAsia" w:ascii="仿宋" w:hAnsi="仿宋" w:eastAsia="仿宋" w:cs="仿宋"/>
                      <w:color w:val="000000" w:themeColor="text1"/>
                      <w:sz w:val="24"/>
                      <w:szCs w:val="24"/>
                      <w:lang w:val="en-US" w:eastAsia="zh-CN"/>
                      <w14:textFill>
                        <w14:solidFill>
                          <w14:schemeClr w14:val="tx1"/>
                        </w14:solidFill>
                      </w14:textFill>
                    </w:rPr>
                    <w:t>新生儿</w:t>
                  </w:r>
                  <w:r>
                    <w:rPr>
                      <w:rFonts w:hint="eastAsia" w:ascii="仿宋" w:hAnsi="仿宋" w:eastAsia="仿宋" w:cs="仿宋"/>
                      <w:color w:val="000000" w:themeColor="text1"/>
                      <w:sz w:val="24"/>
                      <w:szCs w:val="24"/>
                      <w:lang w:eastAsia="zh-CN"/>
                      <w14:textFill>
                        <w14:solidFill>
                          <w14:schemeClr w14:val="tx1"/>
                        </w14:solidFill>
                      </w14:textFill>
                    </w:rPr>
                    <w:t>流量传感器</w:t>
                  </w:r>
                  <w:r>
                    <w:rPr>
                      <w:rFonts w:hint="eastAsia" w:ascii="仿宋" w:hAnsi="仿宋" w:eastAsia="仿宋" w:cs="仿宋"/>
                      <w:color w:val="000000" w:themeColor="text1"/>
                      <w:sz w:val="24"/>
                      <w:szCs w:val="24"/>
                      <w:lang w:val="en-US" w:eastAsia="zh-CN"/>
                      <w14:textFill>
                        <w14:solidFill>
                          <w14:schemeClr w14:val="tx1"/>
                        </w14:solidFill>
                      </w14:textFill>
                    </w:rPr>
                    <w:t>+重复性线缆</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87CC26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套</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A3A0B53">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r>
            <w:tr w14:paraId="1E12B9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731FABB">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AE0D94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空气气源软管</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7A45DD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根</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CE54001">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r>
            <w:tr w14:paraId="190C70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1CBF6CD">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6DDCA0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氧气气源软管</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1F9E46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根</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683B703">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r>
            <w:tr w14:paraId="5D3BCF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A09C556">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8B4EC2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新生儿模拟肺</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12771B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个</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003743F">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r>
            <w:tr w14:paraId="35715A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9A8AC28">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68C495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重复性使用呼吸管路</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E287EF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套</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5A43901">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r>
          </w:tbl>
          <w:p w14:paraId="0E7EB373">
            <w:pPr>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以上技术要求不排除参数或配置遗漏的可能性，厂家或供应商应自行添加必要的配件以保证设备正常运转之需要。否则，影响验收后果自负。</w:t>
            </w:r>
          </w:p>
        </w:tc>
      </w:tr>
      <w:tr w14:paraId="7844FA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5CEB4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说明</w:t>
            </w:r>
          </w:p>
        </w:tc>
        <w:tc>
          <w:tcPr>
            <w:tcW w:w="7666" w:type="dxa"/>
            <w:gridSpan w:val="2"/>
            <w:vAlign w:val="center"/>
          </w:tcPr>
          <w:p w14:paraId="4985CB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打“★”号条款为实质性条款，若有任何一条负偏离或不满足则导致投标无效。</w:t>
            </w:r>
            <w:r>
              <w:rPr>
                <w:rFonts w:hint="eastAsia" w:ascii="宋体" w:hAnsi="宋体" w:eastAsia="宋体" w:cs="宋体"/>
                <w:color w:val="000000" w:themeColor="text1"/>
                <w:sz w:val="24"/>
                <w:szCs w:val="24"/>
                <w:highlight w:val="none"/>
                <w14:textFill>
                  <w14:solidFill>
                    <w14:schemeClr w14:val="tx1"/>
                  </w14:solidFill>
                </w14:textFill>
              </w:rPr>
              <w:br w:type="textWrapping"/>
            </w:r>
            <w:r>
              <w:rPr>
                <w:rFonts w:hint="eastAsia" w:ascii="宋体" w:hAnsi="宋体" w:eastAsia="宋体" w:cs="宋体"/>
                <w:color w:val="000000" w:themeColor="text1"/>
                <w:sz w:val="24"/>
                <w:szCs w:val="24"/>
                <w:highlight w:val="none"/>
                <w14:textFill>
                  <w14:solidFill>
                    <w14:schemeClr w14:val="tx1"/>
                  </w14:solidFill>
                </w14:textFill>
              </w:rPr>
              <w:t>打“▲”号条款为重要技术参数，若有部分“▲”条款未响应或不满足，将导致其响应性评审加重扣分，但不作为无效投标条款。</w:t>
            </w:r>
          </w:p>
        </w:tc>
      </w:tr>
    </w:tbl>
    <w:p w14:paraId="3F53E346">
      <w:pPr>
        <w:pStyle w:val="15"/>
        <w:ind w:left="0" w:leftChars="0" w:firstLine="0" w:firstLineChars="0"/>
        <w:rPr>
          <w:rFonts w:hint="eastAsia" w:ascii="方正小标宋简体" w:eastAsia="方正小标宋简体"/>
          <w:sz w:val="44"/>
          <w:szCs w:val="44"/>
        </w:rPr>
      </w:pPr>
    </w:p>
    <w:p w14:paraId="413094B1">
      <w:pPr>
        <w:pStyle w:val="15"/>
        <w:ind w:left="0" w:leftChars="0" w:firstLine="0" w:firstLineChars="0"/>
        <w:rPr>
          <w:rFonts w:hint="eastAsia" w:ascii="方正小标宋简体" w:eastAsia="方正小标宋简体"/>
          <w:sz w:val="44"/>
          <w:szCs w:val="44"/>
        </w:rPr>
      </w:pPr>
    </w:p>
    <w:p w14:paraId="15312134">
      <w:pPr>
        <w:pStyle w:val="15"/>
        <w:ind w:left="0" w:leftChars="0" w:firstLine="0" w:firstLineChars="0"/>
        <w:rPr>
          <w:rFonts w:hint="eastAsia" w:ascii="方正小标宋简体" w:eastAsia="方正小标宋简体"/>
          <w:sz w:val="44"/>
          <w:szCs w:val="44"/>
        </w:rPr>
      </w:pPr>
    </w:p>
    <w:p w14:paraId="0930D591">
      <w:pPr>
        <w:pStyle w:val="15"/>
        <w:ind w:left="0" w:leftChars="0" w:firstLine="0" w:firstLineChars="0"/>
        <w:rPr>
          <w:rFonts w:hint="eastAsia" w:ascii="方正小标宋简体" w:eastAsia="方正小标宋简体"/>
          <w:sz w:val="44"/>
          <w:szCs w:val="44"/>
        </w:rPr>
      </w:pPr>
    </w:p>
    <w:p w14:paraId="6DF9D9AA">
      <w:pPr>
        <w:pStyle w:val="15"/>
        <w:ind w:left="0" w:leftChars="0" w:firstLine="0" w:firstLineChars="0"/>
        <w:rPr>
          <w:rFonts w:hint="eastAsia" w:ascii="方正小标宋简体" w:eastAsia="方正小标宋简体"/>
          <w:sz w:val="44"/>
          <w:szCs w:val="44"/>
        </w:rPr>
      </w:pPr>
    </w:p>
    <w:p w14:paraId="3996D5BB">
      <w:pPr>
        <w:pStyle w:val="15"/>
        <w:ind w:left="0" w:leftChars="0" w:firstLine="0" w:firstLineChars="0"/>
        <w:rPr>
          <w:rFonts w:hint="eastAsia" w:ascii="方正小标宋简体" w:eastAsia="方正小标宋简体"/>
          <w:sz w:val="44"/>
          <w:szCs w:val="44"/>
        </w:rPr>
      </w:pPr>
    </w:p>
    <w:p w14:paraId="54D36053">
      <w:pPr>
        <w:rPr>
          <w:rFonts w:hint="eastAsia" w:asciiTheme="minorEastAsia" w:hAnsiTheme="minorEastAsia" w:eastAsiaTheme="minorEastAsia" w:cstheme="minorEastAsia"/>
          <w:b/>
          <w:bCs/>
          <w:lang w:eastAsia="zh-CN"/>
        </w:rPr>
      </w:pPr>
    </w:p>
    <w:p w14:paraId="4600AE82">
      <w:pPr>
        <w:ind w:left="0" w:leftChars="0" w:firstLine="0" w:firstLineChars="0"/>
        <w:rPr>
          <w:rFonts w:hint="eastAsia" w:asciiTheme="minorEastAsia" w:hAnsiTheme="minorEastAsia" w:eastAsiaTheme="minorEastAsia" w:cstheme="minorEastAsia"/>
          <w:b/>
          <w:bCs/>
          <w:lang w:eastAsia="zh-CN"/>
        </w:rPr>
      </w:pPr>
    </w:p>
    <w:p w14:paraId="09CCAC81">
      <w:pPr>
        <w:rPr>
          <w:rFonts w:hint="eastAsia" w:ascii="仿宋_GB2312" w:hAnsi="仿宋"/>
          <w:b/>
          <w:szCs w:val="32"/>
        </w:rPr>
      </w:pPr>
      <w:r>
        <w:rPr>
          <w:rFonts w:hint="eastAsia" w:asciiTheme="minorEastAsia" w:hAnsiTheme="minorEastAsia" w:eastAsiaTheme="minorEastAsia" w:cstheme="minorEastAsia"/>
          <w:b/>
          <w:bCs/>
          <w:lang w:eastAsia="zh-CN"/>
        </w:rPr>
        <w:t>二、</w:t>
      </w:r>
      <w:r>
        <w:rPr>
          <w:rFonts w:hint="eastAsia" w:asciiTheme="minorEastAsia" w:hAnsiTheme="minorEastAsia" w:eastAsiaTheme="minorEastAsia" w:cstheme="minorEastAsia"/>
          <w:b/>
          <w:bCs/>
          <w:szCs w:val="32"/>
        </w:rPr>
        <w:t>评审因素及对应的分值、权重：</w:t>
      </w:r>
    </w:p>
    <w:tbl>
      <w:tblPr>
        <w:tblStyle w:val="11"/>
        <w:tblW w:w="1001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53"/>
        <w:gridCol w:w="2063"/>
        <w:gridCol w:w="7102"/>
      </w:tblGrid>
      <w:tr w14:paraId="0F02F2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70" w:hRule="atLeast"/>
        </w:trPr>
        <w:tc>
          <w:tcPr>
            <w:tcW w:w="853" w:type="dxa"/>
          </w:tcPr>
          <w:p w14:paraId="230A25D3">
            <w:pPr>
              <w:ind w:firstLine="0"/>
              <w:rPr>
                <w:sz w:val="28"/>
                <w:szCs w:val="28"/>
              </w:rPr>
            </w:pPr>
            <w:r>
              <w:rPr>
                <w:sz w:val="28"/>
                <w:szCs w:val="28"/>
              </w:rPr>
              <w:t>评审因素</w:t>
            </w:r>
          </w:p>
        </w:tc>
        <w:tc>
          <w:tcPr>
            <w:tcW w:w="9165" w:type="dxa"/>
            <w:gridSpan w:val="2"/>
          </w:tcPr>
          <w:p w14:paraId="2DF5BF57">
            <w:pPr>
              <w:jc w:val="center"/>
              <w:rPr>
                <w:sz w:val="28"/>
                <w:szCs w:val="28"/>
              </w:rPr>
            </w:pPr>
            <w:r>
              <w:rPr>
                <w:sz w:val="28"/>
                <w:szCs w:val="28"/>
              </w:rPr>
              <w:t>评审标准</w:t>
            </w:r>
          </w:p>
        </w:tc>
      </w:tr>
      <w:tr w14:paraId="44D3A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tcPr>
          <w:p w14:paraId="028D005E">
            <w:pPr>
              <w:ind w:firstLine="0"/>
              <w:rPr>
                <w:sz w:val="28"/>
                <w:szCs w:val="28"/>
              </w:rPr>
            </w:pPr>
            <w:r>
              <w:rPr>
                <w:sz w:val="28"/>
                <w:szCs w:val="28"/>
              </w:rPr>
              <w:t>分值构成</w:t>
            </w:r>
          </w:p>
        </w:tc>
        <w:tc>
          <w:tcPr>
            <w:tcW w:w="9165" w:type="dxa"/>
            <w:gridSpan w:val="2"/>
          </w:tcPr>
          <w:p w14:paraId="155C2533">
            <w:pPr>
              <w:ind w:firstLine="0"/>
              <w:rPr>
                <w:sz w:val="28"/>
                <w:szCs w:val="28"/>
              </w:rPr>
            </w:pPr>
            <w:r>
              <w:rPr>
                <w:rFonts w:hint="eastAsia"/>
                <w:sz w:val="28"/>
                <w:szCs w:val="28"/>
              </w:rPr>
              <w:t>技术</w:t>
            </w:r>
            <w:r>
              <w:rPr>
                <w:sz w:val="28"/>
                <w:szCs w:val="28"/>
              </w:rPr>
              <w:t>部分</w:t>
            </w:r>
            <w:r>
              <w:rPr>
                <w:rFonts w:hint="eastAsia"/>
                <w:sz w:val="28"/>
                <w:szCs w:val="28"/>
                <w:lang w:val="en-US" w:eastAsia="zh-CN"/>
              </w:rPr>
              <w:t>62</w:t>
            </w:r>
            <w:r>
              <w:rPr>
                <w:sz w:val="28"/>
                <w:szCs w:val="28"/>
              </w:rPr>
              <w:t>.0分</w:t>
            </w:r>
          </w:p>
          <w:p w14:paraId="207A2C83">
            <w:pPr>
              <w:ind w:firstLine="0"/>
            </w:pPr>
            <w:r>
              <w:rPr>
                <w:rFonts w:hint="eastAsia"/>
                <w:sz w:val="28"/>
                <w:szCs w:val="28"/>
              </w:rPr>
              <w:t>商务</w:t>
            </w:r>
            <w:r>
              <w:rPr>
                <w:sz w:val="28"/>
                <w:szCs w:val="28"/>
              </w:rPr>
              <w:t>部分</w:t>
            </w:r>
            <w:r>
              <w:rPr>
                <w:rFonts w:hint="eastAsia"/>
                <w:sz w:val="28"/>
                <w:szCs w:val="28"/>
                <w:lang w:val="en-US" w:eastAsia="zh-CN"/>
              </w:rPr>
              <w:t>8</w:t>
            </w:r>
            <w:r>
              <w:rPr>
                <w:sz w:val="28"/>
                <w:szCs w:val="28"/>
              </w:rPr>
              <w:t>.0分</w:t>
            </w:r>
          </w:p>
          <w:p w14:paraId="0E76DCAE">
            <w:pPr>
              <w:ind w:firstLine="0"/>
              <w:rPr>
                <w:sz w:val="28"/>
                <w:szCs w:val="28"/>
              </w:rPr>
            </w:pPr>
            <w:r>
              <w:rPr>
                <w:sz w:val="28"/>
                <w:szCs w:val="28"/>
              </w:rPr>
              <w:t>报价得分</w:t>
            </w:r>
            <w:r>
              <w:rPr>
                <w:rFonts w:hint="eastAsia"/>
                <w:sz w:val="28"/>
                <w:szCs w:val="28"/>
              </w:rPr>
              <w:t>3</w:t>
            </w:r>
            <w:r>
              <w:rPr>
                <w:sz w:val="28"/>
                <w:szCs w:val="28"/>
              </w:rPr>
              <w:t>0.0分</w:t>
            </w:r>
          </w:p>
        </w:tc>
      </w:tr>
      <w:tr w14:paraId="301816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restart"/>
          </w:tcPr>
          <w:p w14:paraId="47DD23B9">
            <w:pPr>
              <w:ind w:firstLine="0"/>
              <w:rPr>
                <w:sz w:val="28"/>
                <w:szCs w:val="28"/>
              </w:rPr>
            </w:pPr>
            <w:r>
              <w:rPr>
                <w:sz w:val="28"/>
                <w:szCs w:val="28"/>
              </w:rPr>
              <w:t>技术部分</w:t>
            </w:r>
          </w:p>
        </w:tc>
        <w:tc>
          <w:tcPr>
            <w:tcW w:w="2063" w:type="dxa"/>
          </w:tcPr>
          <w:p w14:paraId="20B72A0E">
            <w:pPr>
              <w:ind w:firstLine="0"/>
              <w:jc w:val="left"/>
              <w:rPr>
                <w:sz w:val="28"/>
                <w:szCs w:val="28"/>
              </w:rPr>
            </w:pPr>
            <w:r>
              <w:rPr>
                <w:sz w:val="28"/>
                <w:szCs w:val="28"/>
              </w:rPr>
              <w:t>重要技术条款响应  (</w:t>
            </w:r>
            <w:r>
              <w:rPr>
                <w:rFonts w:hint="eastAsia"/>
                <w:sz w:val="28"/>
                <w:szCs w:val="28"/>
                <w:lang w:val="en-US" w:eastAsia="zh-CN"/>
              </w:rPr>
              <w:t>26</w:t>
            </w:r>
            <w:r>
              <w:rPr>
                <w:sz w:val="28"/>
                <w:szCs w:val="28"/>
              </w:rPr>
              <w:t>.0分)</w:t>
            </w:r>
          </w:p>
        </w:tc>
        <w:tc>
          <w:tcPr>
            <w:tcW w:w="7102" w:type="dxa"/>
          </w:tcPr>
          <w:p w14:paraId="0DC9486A">
            <w:pPr>
              <w:keepNext w:val="0"/>
              <w:keepLines w:val="0"/>
              <w:pageBreakBefore w:val="0"/>
              <w:widowControl w:val="0"/>
              <w:kinsoku/>
              <w:wordWrap/>
              <w:overflowPunct/>
              <w:topLinePunct w:val="0"/>
              <w:autoSpaceDE/>
              <w:autoSpaceDN/>
              <w:bidi w:val="0"/>
              <w:adjustRightInd/>
              <w:snapToGrid w:val="0"/>
              <w:spacing w:line="400" w:lineRule="exact"/>
              <w:ind w:left="0" w:leftChars="0" w:firstLine="574" w:firstLineChars="200"/>
              <w:textAlignment w:val="auto"/>
              <w:rPr>
                <w:rFonts w:ascii="仿宋" w:hAnsi="仿宋" w:eastAsia="仿宋" w:cs="仿宋"/>
                <w:sz w:val="28"/>
                <w:szCs w:val="28"/>
              </w:rPr>
            </w:pPr>
            <w:r>
              <w:rPr>
                <w:rFonts w:hint="eastAsia" w:ascii="仿宋" w:hAnsi="仿宋" w:eastAsia="仿宋" w:cs="仿宋"/>
                <w:sz w:val="28"/>
                <w:szCs w:val="28"/>
              </w:rPr>
              <w:t>重要技</w:t>
            </w:r>
            <w:r>
              <w:rPr>
                <w:rFonts w:hint="eastAsia" w:ascii="仿宋" w:hAnsi="仿宋" w:eastAsia="仿宋" w:cs="仿宋"/>
                <w:sz w:val="28"/>
                <w:szCs w:val="28"/>
                <w:lang w:val="en-US" w:eastAsia="zh-CN"/>
              </w:rPr>
              <w:t>术条款响应（26.0分）：根据各投标人对采购文件技术要求中“▲”条款（共13条）的响应程度进行评分： 全部响应得26.0分，每有一项不响应的扣2.0分。</w:t>
            </w:r>
          </w:p>
          <w:p w14:paraId="11D88762">
            <w:pPr>
              <w:keepNext w:val="0"/>
              <w:keepLines w:val="0"/>
              <w:pageBreakBefore w:val="0"/>
              <w:widowControl w:val="0"/>
              <w:kinsoku/>
              <w:wordWrap/>
              <w:overflowPunct/>
              <w:topLinePunct w:val="0"/>
              <w:autoSpaceDE/>
              <w:autoSpaceDN/>
              <w:bidi w:val="0"/>
              <w:adjustRightInd/>
              <w:spacing w:line="400" w:lineRule="exact"/>
              <w:jc w:val="left"/>
              <w:textAlignment w:val="auto"/>
              <w:rPr>
                <w:sz w:val="28"/>
                <w:szCs w:val="28"/>
              </w:rPr>
            </w:pPr>
            <w:r>
              <w:rPr>
                <w:rFonts w:hint="eastAsia" w:ascii="仿宋" w:hAnsi="仿宋" w:eastAsia="仿宋" w:cs="仿宋"/>
                <w:sz w:val="28"/>
                <w:szCs w:val="28"/>
              </w:rPr>
              <w:t xml:space="preserve">所有投标人须提供投标产品彩页及相应技术参数的厂家使用说明书作为技术证明文件，否则采购人有权视相应技术参数响应不符合采购要求（如厂家的产品使用说明书为英文版，请同时提供中文版）。 </w:t>
            </w:r>
          </w:p>
        </w:tc>
      </w:tr>
      <w:tr w14:paraId="75CD1A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continue"/>
          </w:tcPr>
          <w:p w14:paraId="2FE59FB1">
            <w:pPr>
              <w:jc w:val="center"/>
              <w:rPr>
                <w:sz w:val="28"/>
                <w:szCs w:val="28"/>
              </w:rPr>
            </w:pPr>
          </w:p>
        </w:tc>
        <w:tc>
          <w:tcPr>
            <w:tcW w:w="2063" w:type="dxa"/>
          </w:tcPr>
          <w:p w14:paraId="20AA8A1B">
            <w:pPr>
              <w:ind w:firstLine="0"/>
              <w:jc w:val="left"/>
              <w:rPr>
                <w:sz w:val="28"/>
                <w:szCs w:val="28"/>
              </w:rPr>
            </w:pPr>
            <w:r>
              <w:rPr>
                <w:sz w:val="28"/>
                <w:szCs w:val="28"/>
              </w:rPr>
              <w:t>一般技术条款响应 (</w:t>
            </w:r>
            <w:r>
              <w:rPr>
                <w:rFonts w:hint="eastAsia" w:ascii="仿宋" w:hAnsi="仿宋" w:eastAsia="仿宋" w:cs="仿宋"/>
                <w:sz w:val="28"/>
                <w:szCs w:val="28"/>
                <w:lang w:val="en-US" w:eastAsia="zh-CN"/>
              </w:rPr>
              <w:t>24</w:t>
            </w:r>
            <w:r>
              <w:rPr>
                <w:sz w:val="28"/>
                <w:szCs w:val="28"/>
              </w:rPr>
              <w:t>.0分)</w:t>
            </w:r>
          </w:p>
        </w:tc>
        <w:tc>
          <w:tcPr>
            <w:tcW w:w="7102" w:type="dxa"/>
          </w:tcPr>
          <w:p w14:paraId="64E317AC">
            <w:pPr>
              <w:keepNext w:val="0"/>
              <w:keepLines w:val="0"/>
              <w:pageBreakBefore w:val="0"/>
              <w:widowControl w:val="0"/>
              <w:kinsoku/>
              <w:wordWrap/>
              <w:overflowPunct/>
              <w:topLinePunct w:val="0"/>
              <w:autoSpaceDE/>
              <w:autoSpaceDN/>
              <w:bidi w:val="0"/>
              <w:adjustRightInd/>
              <w:snapToGrid/>
              <w:spacing w:line="400" w:lineRule="exact"/>
              <w:ind w:firstLine="641"/>
              <w:jc w:val="left"/>
              <w:textAlignment w:val="auto"/>
              <w:rPr>
                <w:rFonts w:ascii="仿宋" w:hAnsi="仿宋" w:eastAsia="仿宋" w:cs="仿宋"/>
                <w:sz w:val="28"/>
                <w:szCs w:val="28"/>
              </w:rPr>
            </w:pPr>
            <w:r>
              <w:rPr>
                <w:rFonts w:hint="eastAsia" w:ascii="仿宋" w:hAnsi="仿宋" w:eastAsia="仿宋" w:cs="仿宋"/>
                <w:sz w:val="28"/>
                <w:szCs w:val="28"/>
              </w:rPr>
              <w:t>所投货物技术参数及性能与技术规格要求的符合性（</w:t>
            </w:r>
            <w:r>
              <w:rPr>
                <w:rFonts w:hint="eastAsia" w:ascii="仿宋" w:hAnsi="仿宋" w:eastAsia="仿宋" w:cs="仿宋"/>
                <w:sz w:val="28"/>
                <w:szCs w:val="28"/>
                <w:lang w:val="en-US" w:eastAsia="zh-CN"/>
              </w:rPr>
              <w:t>24</w:t>
            </w:r>
            <w:r>
              <w:rPr>
                <w:rFonts w:hint="eastAsia" w:ascii="仿宋" w:hAnsi="仿宋" w:eastAsia="仿宋" w:cs="仿宋"/>
                <w:sz w:val="28"/>
                <w:szCs w:val="28"/>
              </w:rPr>
              <w:t>分）：根据各投标人对采购文件技术要求中一般条款（共</w:t>
            </w:r>
            <w:r>
              <w:rPr>
                <w:rFonts w:hint="eastAsia" w:ascii="仿宋" w:hAnsi="仿宋" w:eastAsia="仿宋" w:cs="仿宋"/>
                <w:sz w:val="28"/>
                <w:szCs w:val="28"/>
                <w:lang w:val="en-US" w:eastAsia="zh-CN"/>
              </w:rPr>
              <w:t>24</w:t>
            </w:r>
            <w:r>
              <w:rPr>
                <w:rFonts w:hint="eastAsia" w:ascii="仿宋" w:hAnsi="仿宋" w:eastAsia="仿宋" w:cs="仿宋"/>
                <w:sz w:val="28"/>
                <w:szCs w:val="28"/>
              </w:rPr>
              <w:t>条）的响应程度进行评分： 全部响应得</w:t>
            </w:r>
            <w:r>
              <w:rPr>
                <w:rFonts w:hint="eastAsia" w:ascii="仿宋" w:hAnsi="仿宋" w:eastAsia="仿宋" w:cs="仿宋"/>
                <w:sz w:val="28"/>
                <w:szCs w:val="28"/>
                <w:lang w:val="en-US" w:eastAsia="zh-CN"/>
              </w:rPr>
              <w:t>24.0</w:t>
            </w:r>
            <w:r>
              <w:rPr>
                <w:rFonts w:hint="eastAsia" w:ascii="仿宋" w:hAnsi="仿宋" w:eastAsia="仿宋" w:cs="仿宋"/>
                <w:sz w:val="28"/>
                <w:szCs w:val="28"/>
              </w:rPr>
              <w:t>分，每有一项不响应的扣</w:t>
            </w:r>
            <w:r>
              <w:rPr>
                <w:rFonts w:hint="eastAsia" w:ascii="仿宋" w:hAnsi="仿宋" w:eastAsia="仿宋" w:cs="仿宋"/>
                <w:sz w:val="28"/>
                <w:szCs w:val="28"/>
                <w:lang w:val="en-US" w:eastAsia="zh-CN"/>
              </w:rPr>
              <w:t>1.0</w:t>
            </w:r>
            <w:r>
              <w:rPr>
                <w:rFonts w:hint="eastAsia" w:ascii="仿宋" w:hAnsi="仿宋" w:eastAsia="仿宋" w:cs="仿宋"/>
                <w:sz w:val="28"/>
                <w:szCs w:val="28"/>
              </w:rPr>
              <w:t xml:space="preserve">分。 </w:t>
            </w:r>
          </w:p>
          <w:p w14:paraId="68BEE8E1">
            <w:pPr>
              <w:keepNext w:val="0"/>
              <w:keepLines w:val="0"/>
              <w:pageBreakBefore w:val="0"/>
              <w:widowControl w:val="0"/>
              <w:kinsoku/>
              <w:wordWrap/>
              <w:overflowPunct/>
              <w:topLinePunct w:val="0"/>
              <w:autoSpaceDE/>
              <w:autoSpaceDN/>
              <w:bidi w:val="0"/>
              <w:adjustRightInd/>
              <w:snapToGrid/>
              <w:spacing w:line="400" w:lineRule="exact"/>
              <w:ind w:firstLine="641"/>
              <w:jc w:val="left"/>
              <w:textAlignment w:val="auto"/>
            </w:pPr>
            <w:r>
              <w:rPr>
                <w:rFonts w:hint="eastAsia" w:ascii="仿宋" w:hAnsi="仿宋" w:eastAsia="仿宋" w:cs="仿宋"/>
                <w:sz w:val="28"/>
                <w:szCs w:val="28"/>
              </w:rPr>
              <w:t>所有投标人须提供投标产品彩页及相应技术参数的厂家使用说明书作为技术证明文件，否则采购人有权视相应技术参数响应不符合采购要求（如厂家的产品使用说明书为英文版，请同时提供中文版）</w:t>
            </w:r>
          </w:p>
        </w:tc>
      </w:tr>
      <w:tr w14:paraId="03C36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35" w:hRule="atLeast"/>
        </w:trPr>
        <w:tc>
          <w:tcPr>
            <w:tcW w:w="853" w:type="dxa"/>
            <w:vMerge w:val="continue"/>
          </w:tcPr>
          <w:p w14:paraId="2D4ED501">
            <w:pPr>
              <w:ind w:firstLine="0"/>
              <w:rPr>
                <w:sz w:val="28"/>
                <w:szCs w:val="28"/>
              </w:rPr>
            </w:pPr>
          </w:p>
        </w:tc>
        <w:tc>
          <w:tcPr>
            <w:tcW w:w="2063" w:type="dxa"/>
          </w:tcPr>
          <w:p w14:paraId="3BF44D07">
            <w:pPr>
              <w:ind w:firstLine="0"/>
              <w:jc w:val="left"/>
              <w:rPr>
                <w:rFonts w:ascii="仿宋" w:hAnsi="仿宋" w:eastAsia="仿宋" w:cs="仿宋"/>
                <w:sz w:val="28"/>
                <w:szCs w:val="28"/>
              </w:rPr>
            </w:pPr>
            <w:r>
              <w:rPr>
                <w:rFonts w:hint="eastAsia" w:ascii="仿宋" w:hAnsi="仿宋" w:eastAsia="仿宋" w:cs="仿宋"/>
                <w:sz w:val="28"/>
                <w:szCs w:val="28"/>
              </w:rPr>
              <w:t>质量保证方案 (</w:t>
            </w:r>
            <w:r>
              <w:rPr>
                <w:rFonts w:hint="eastAsia" w:ascii="仿宋" w:hAnsi="仿宋" w:eastAsia="仿宋" w:cs="仿宋"/>
                <w:sz w:val="28"/>
                <w:szCs w:val="28"/>
                <w:lang w:val="en-US" w:eastAsia="zh-CN"/>
              </w:rPr>
              <w:t>4</w:t>
            </w:r>
            <w:r>
              <w:rPr>
                <w:rFonts w:hint="eastAsia" w:ascii="仿宋" w:hAnsi="仿宋" w:eastAsia="仿宋" w:cs="仿宋"/>
                <w:sz w:val="28"/>
                <w:szCs w:val="28"/>
              </w:rPr>
              <w:t>.0分)</w:t>
            </w:r>
          </w:p>
        </w:tc>
        <w:tc>
          <w:tcPr>
            <w:tcW w:w="7102" w:type="dxa"/>
          </w:tcPr>
          <w:p w14:paraId="59E6C549">
            <w:pPr>
              <w:keepNext w:val="0"/>
              <w:keepLines w:val="0"/>
              <w:pageBreakBefore w:val="0"/>
              <w:widowControl w:val="0"/>
              <w:kinsoku/>
              <w:wordWrap/>
              <w:overflowPunct/>
              <w:topLinePunct w:val="0"/>
              <w:autoSpaceDE/>
              <w:autoSpaceDN/>
              <w:bidi w:val="0"/>
              <w:adjustRightInd/>
              <w:snapToGrid w:val="0"/>
              <w:spacing w:line="400" w:lineRule="exact"/>
              <w:ind w:firstLine="641"/>
              <w:textAlignment w:val="auto"/>
              <w:rPr>
                <w:rFonts w:ascii="仿宋" w:hAnsi="仿宋" w:eastAsia="仿宋" w:cs="仿宋"/>
                <w:sz w:val="28"/>
                <w:szCs w:val="28"/>
              </w:rPr>
            </w:pPr>
            <w:r>
              <w:rPr>
                <w:rFonts w:hint="eastAsia" w:ascii="仿宋" w:hAnsi="仿宋" w:eastAsia="仿宋" w:cs="仿宋"/>
                <w:sz w:val="28"/>
                <w:szCs w:val="28"/>
              </w:rPr>
              <w:t>根据投标人针对本项目所提供的质量保证方案，方案内容包括但不限于质保年限、质量保证目标、质量保障措施等内容、提供备品备件服务等内容进行评审：</w:t>
            </w:r>
          </w:p>
          <w:p w14:paraId="2D45303B">
            <w:pPr>
              <w:keepNext w:val="0"/>
              <w:keepLines w:val="0"/>
              <w:pageBreakBefore w:val="0"/>
              <w:widowControl w:val="0"/>
              <w:kinsoku/>
              <w:wordWrap/>
              <w:overflowPunct/>
              <w:topLinePunct w:val="0"/>
              <w:autoSpaceDE/>
              <w:autoSpaceDN/>
              <w:bidi w:val="0"/>
              <w:adjustRightInd/>
              <w:snapToGrid w:val="0"/>
              <w:spacing w:line="400" w:lineRule="exact"/>
              <w:ind w:firstLine="641"/>
              <w:textAlignment w:val="auto"/>
              <w:rPr>
                <w:rFonts w:ascii="仿宋" w:hAnsi="仿宋" w:eastAsia="仿宋" w:cs="仿宋"/>
                <w:sz w:val="28"/>
                <w:szCs w:val="28"/>
              </w:rPr>
            </w:pPr>
            <w:r>
              <w:rPr>
                <w:rFonts w:hint="eastAsia" w:ascii="仿宋" w:hAnsi="仿宋" w:eastAsia="仿宋" w:cs="仿宋"/>
                <w:sz w:val="28"/>
                <w:szCs w:val="28"/>
              </w:rPr>
              <w:t>（1）投标人所提供的质保年限和质量保证目标、质量保障措施方案内容详细，有完整合理的部署规划，有安排人员负责响应采购人的维修要求及服务过程中的沟通，有完整可行操作的维修处理方法，对日常维修和应急情况响应及时，优于或完全满足项目要求的得</w:t>
            </w:r>
            <w:r>
              <w:rPr>
                <w:rFonts w:hint="eastAsia" w:ascii="仿宋" w:hAnsi="仿宋" w:eastAsia="仿宋" w:cs="仿宋"/>
                <w:sz w:val="28"/>
                <w:szCs w:val="28"/>
                <w:lang w:val="en-US" w:eastAsia="zh-CN"/>
              </w:rPr>
              <w:t>4.0</w:t>
            </w:r>
            <w:r>
              <w:rPr>
                <w:rFonts w:hint="eastAsia" w:ascii="仿宋" w:hAnsi="仿宋" w:eastAsia="仿宋" w:cs="仿宋"/>
                <w:sz w:val="28"/>
                <w:szCs w:val="28"/>
              </w:rPr>
              <w:t>分；</w:t>
            </w:r>
          </w:p>
          <w:p w14:paraId="7CC0D324">
            <w:pPr>
              <w:keepNext w:val="0"/>
              <w:keepLines w:val="0"/>
              <w:pageBreakBefore w:val="0"/>
              <w:widowControl w:val="0"/>
              <w:kinsoku/>
              <w:wordWrap/>
              <w:overflowPunct/>
              <w:topLinePunct w:val="0"/>
              <w:autoSpaceDE/>
              <w:autoSpaceDN/>
              <w:bidi w:val="0"/>
              <w:adjustRightInd/>
              <w:snapToGrid w:val="0"/>
              <w:spacing w:line="400" w:lineRule="exact"/>
              <w:ind w:firstLine="641"/>
              <w:textAlignment w:val="auto"/>
              <w:rPr>
                <w:rFonts w:ascii="仿宋" w:hAnsi="仿宋" w:eastAsia="仿宋" w:cs="仿宋"/>
                <w:sz w:val="28"/>
                <w:szCs w:val="28"/>
              </w:rPr>
            </w:pPr>
            <w:r>
              <w:rPr>
                <w:rFonts w:hint="eastAsia" w:ascii="仿宋" w:hAnsi="仿宋" w:eastAsia="仿宋" w:cs="仿宋"/>
                <w:sz w:val="28"/>
                <w:szCs w:val="28"/>
              </w:rPr>
              <w:t>（2）投标人所提供的质保年限和质量保证目标、质量保障措施方案基本完整，部署规划基本合理，有安排人员负责响应采购人的维修要求及服务过程中的沟通，维修处理方法基本合理可行，对日常维修和应急情况响应较及时，基本满足项目要求的得</w:t>
            </w:r>
            <w:r>
              <w:rPr>
                <w:rFonts w:hint="eastAsia" w:ascii="仿宋" w:hAnsi="仿宋" w:eastAsia="仿宋" w:cs="仿宋"/>
                <w:sz w:val="28"/>
                <w:szCs w:val="28"/>
                <w:lang w:val="en-US" w:eastAsia="zh-CN"/>
              </w:rPr>
              <w:t>2.0</w:t>
            </w:r>
            <w:r>
              <w:rPr>
                <w:rFonts w:hint="eastAsia" w:ascii="仿宋" w:hAnsi="仿宋" w:eastAsia="仿宋" w:cs="仿宋"/>
                <w:sz w:val="28"/>
                <w:szCs w:val="28"/>
              </w:rPr>
              <w:t>分；</w:t>
            </w:r>
          </w:p>
          <w:p w14:paraId="41E37AA4">
            <w:pPr>
              <w:keepNext w:val="0"/>
              <w:keepLines w:val="0"/>
              <w:pageBreakBefore w:val="0"/>
              <w:widowControl w:val="0"/>
              <w:kinsoku/>
              <w:wordWrap/>
              <w:overflowPunct/>
              <w:topLinePunct w:val="0"/>
              <w:autoSpaceDE/>
              <w:autoSpaceDN/>
              <w:bidi w:val="0"/>
              <w:adjustRightInd/>
              <w:snapToGrid w:val="0"/>
              <w:spacing w:line="400" w:lineRule="exact"/>
              <w:ind w:firstLine="641"/>
              <w:textAlignment w:val="auto"/>
              <w:rPr>
                <w:rFonts w:ascii="仿宋" w:hAnsi="仿宋" w:eastAsia="仿宋" w:cs="仿宋"/>
                <w:sz w:val="28"/>
                <w:szCs w:val="28"/>
              </w:rPr>
            </w:pPr>
            <w:r>
              <w:rPr>
                <w:rFonts w:hint="eastAsia" w:ascii="仿宋" w:hAnsi="仿宋" w:eastAsia="仿宋" w:cs="仿宋"/>
                <w:sz w:val="28"/>
                <w:szCs w:val="28"/>
              </w:rPr>
              <w:t>（3）投标人只提供了简单的售后服务方案，投标人有提供质保期年限和质量保证目标、质量保障措施方案，但内容不详细，部署规划不合理，有人员响应采购人的维修要求及服务过程中的沟通，有基本的操作的维修处理方法，对日常维修和应急情况响应不及时，部分满足项目要求的得</w:t>
            </w:r>
            <w:r>
              <w:rPr>
                <w:rFonts w:hint="eastAsia" w:ascii="仿宋" w:hAnsi="仿宋" w:eastAsia="仿宋" w:cs="仿宋"/>
                <w:sz w:val="28"/>
                <w:szCs w:val="28"/>
                <w:lang w:val="en-US" w:eastAsia="zh-CN"/>
              </w:rPr>
              <w:t>1</w:t>
            </w:r>
            <w:r>
              <w:rPr>
                <w:sz w:val="28"/>
                <w:szCs w:val="28"/>
              </w:rPr>
              <w:t>.0</w:t>
            </w:r>
            <w:r>
              <w:rPr>
                <w:rFonts w:hint="eastAsia" w:ascii="仿宋" w:hAnsi="仿宋" w:eastAsia="仿宋" w:cs="仿宋"/>
                <w:sz w:val="28"/>
                <w:szCs w:val="28"/>
              </w:rPr>
              <w:t>分；</w:t>
            </w:r>
          </w:p>
          <w:p w14:paraId="687D50E4">
            <w:pPr>
              <w:keepNext w:val="0"/>
              <w:keepLines w:val="0"/>
              <w:pageBreakBefore w:val="0"/>
              <w:widowControl w:val="0"/>
              <w:kinsoku/>
              <w:wordWrap/>
              <w:overflowPunct/>
              <w:topLinePunct w:val="0"/>
              <w:autoSpaceDE/>
              <w:autoSpaceDN/>
              <w:bidi w:val="0"/>
              <w:adjustRightInd/>
              <w:snapToGrid w:val="0"/>
              <w:spacing w:line="400" w:lineRule="exact"/>
              <w:ind w:firstLine="641"/>
              <w:textAlignment w:val="auto"/>
              <w:rPr>
                <w:rFonts w:ascii="仿宋" w:hAnsi="仿宋" w:eastAsia="仿宋" w:cs="仿宋"/>
                <w:sz w:val="28"/>
                <w:szCs w:val="28"/>
              </w:rPr>
            </w:pPr>
            <w:r>
              <w:rPr>
                <w:rFonts w:hint="eastAsia" w:ascii="仿宋" w:hAnsi="仿宋" w:eastAsia="仿宋" w:cs="仿宋"/>
                <w:sz w:val="28"/>
                <w:szCs w:val="28"/>
              </w:rPr>
              <w:t>（4）不提供的不得分。</w:t>
            </w:r>
          </w:p>
        </w:tc>
      </w:tr>
      <w:tr w14:paraId="33B013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35" w:hRule="atLeast"/>
        </w:trPr>
        <w:tc>
          <w:tcPr>
            <w:tcW w:w="853" w:type="dxa"/>
            <w:vMerge w:val="continue"/>
          </w:tcPr>
          <w:p w14:paraId="448D414D">
            <w:pPr>
              <w:ind w:firstLine="0"/>
              <w:rPr>
                <w:sz w:val="28"/>
                <w:szCs w:val="28"/>
              </w:rPr>
            </w:pPr>
          </w:p>
        </w:tc>
        <w:tc>
          <w:tcPr>
            <w:tcW w:w="2063" w:type="dxa"/>
          </w:tcPr>
          <w:p w14:paraId="47A0ABC8">
            <w:pPr>
              <w:ind w:firstLine="0"/>
              <w:jc w:val="left"/>
              <w:rPr>
                <w:rFonts w:ascii="仿宋" w:hAnsi="仿宋" w:eastAsia="仿宋" w:cs="仿宋"/>
                <w:sz w:val="28"/>
                <w:szCs w:val="28"/>
              </w:rPr>
            </w:pPr>
            <w:r>
              <w:rPr>
                <w:rFonts w:hint="eastAsia" w:ascii="仿宋" w:hAnsi="仿宋" w:eastAsia="仿宋" w:cs="仿宋"/>
                <w:sz w:val="28"/>
                <w:szCs w:val="28"/>
              </w:rPr>
              <w:t>项目实施方案 (</w:t>
            </w:r>
            <w:r>
              <w:rPr>
                <w:rFonts w:hint="eastAsia" w:ascii="仿宋" w:hAnsi="仿宋" w:eastAsia="仿宋" w:cs="仿宋"/>
                <w:sz w:val="28"/>
                <w:szCs w:val="28"/>
                <w:lang w:val="en-US" w:eastAsia="zh-CN"/>
              </w:rPr>
              <w:t>4</w:t>
            </w:r>
            <w:r>
              <w:rPr>
                <w:rFonts w:hint="eastAsia" w:ascii="仿宋" w:hAnsi="仿宋" w:eastAsia="仿宋" w:cs="仿宋"/>
                <w:sz w:val="28"/>
                <w:szCs w:val="28"/>
              </w:rPr>
              <w:t>.0分)</w:t>
            </w:r>
          </w:p>
        </w:tc>
        <w:tc>
          <w:tcPr>
            <w:tcW w:w="7102" w:type="dxa"/>
          </w:tcPr>
          <w:p w14:paraId="1263AB30">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sz w:val="28"/>
                <w:szCs w:val="28"/>
              </w:rPr>
            </w:pPr>
            <w:r>
              <w:rPr>
                <w:rFonts w:hint="eastAsia" w:ascii="仿宋" w:hAnsi="仿宋" w:eastAsia="仿宋" w:cs="仿宋"/>
                <w:sz w:val="28"/>
                <w:szCs w:val="28"/>
              </w:rPr>
              <w:t>根据投标人针对本项目所提供的项目实施方案（不包括售后服务和培训方案），包括但不限于项目到货计划、项目实施计划、项目运输保障、安装调试（如计划步骤、人员安排等）等内容进行评审：</w:t>
            </w:r>
          </w:p>
          <w:p w14:paraId="4D34D58E">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sz w:val="28"/>
                <w:szCs w:val="28"/>
              </w:rPr>
            </w:pPr>
            <w:r>
              <w:rPr>
                <w:rFonts w:hint="eastAsia" w:ascii="仿宋" w:hAnsi="仿宋" w:eastAsia="仿宋" w:cs="仿宋"/>
                <w:sz w:val="28"/>
                <w:szCs w:val="28"/>
              </w:rPr>
              <w:t>（1）投标人针对本项目有明确具体的计划安排、对每个标的设备的运输过程有针对性保障手段、设备到场时的专人安装调试有明确的安排措施，优于或完全满足采购需求得</w:t>
            </w:r>
            <w:r>
              <w:rPr>
                <w:rFonts w:hint="eastAsia" w:ascii="仿宋" w:hAnsi="仿宋" w:eastAsia="仿宋" w:cs="仿宋"/>
                <w:sz w:val="28"/>
                <w:szCs w:val="28"/>
                <w:lang w:val="en-US" w:eastAsia="zh-CN"/>
              </w:rPr>
              <w:t>4</w:t>
            </w:r>
            <w:r>
              <w:rPr>
                <w:rFonts w:hint="eastAsia" w:ascii="仿宋" w:hAnsi="仿宋" w:eastAsia="仿宋" w:cs="仿宋"/>
                <w:sz w:val="28"/>
                <w:szCs w:val="28"/>
              </w:rPr>
              <w:t>.0分；</w:t>
            </w:r>
          </w:p>
          <w:p w14:paraId="701C8FB0">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sz w:val="28"/>
                <w:szCs w:val="28"/>
              </w:rPr>
            </w:pPr>
            <w:r>
              <w:rPr>
                <w:rFonts w:hint="eastAsia" w:ascii="仿宋" w:hAnsi="仿宋" w:eastAsia="仿宋" w:cs="仿宋"/>
                <w:sz w:val="28"/>
                <w:szCs w:val="28"/>
              </w:rPr>
              <w:t>（2）投标人针对本项目有明确的计划安排、对设备的运输过程有基本的保障手段、设备到场时的专人安装调试有基本的安排措施，基本满足采购需求得</w:t>
            </w:r>
            <w:r>
              <w:rPr>
                <w:rFonts w:hint="eastAsia" w:ascii="仿宋" w:hAnsi="仿宋" w:eastAsia="仿宋" w:cs="仿宋"/>
                <w:sz w:val="28"/>
                <w:szCs w:val="28"/>
                <w:lang w:val="en-US" w:eastAsia="zh-CN"/>
              </w:rPr>
              <w:t>2</w:t>
            </w:r>
            <w:r>
              <w:rPr>
                <w:rFonts w:hint="eastAsia" w:ascii="仿宋" w:hAnsi="仿宋" w:eastAsia="仿宋" w:cs="仿宋"/>
                <w:sz w:val="28"/>
                <w:szCs w:val="28"/>
              </w:rPr>
              <w:t>.0分；</w:t>
            </w:r>
          </w:p>
          <w:p w14:paraId="591611E6">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sz w:val="28"/>
                <w:szCs w:val="28"/>
              </w:rPr>
            </w:pPr>
            <w:r>
              <w:rPr>
                <w:rFonts w:hint="eastAsia" w:ascii="仿宋" w:hAnsi="仿宋" w:eastAsia="仿宋" w:cs="仿宋"/>
                <w:sz w:val="28"/>
                <w:szCs w:val="28"/>
              </w:rPr>
              <w:t>（3）投标人针对本项目有简单的计划安排、对设备的运输过程有简单的保障手段、设备到场时的专人安装调试有简单的安排措施，部分满足采购需求得</w:t>
            </w:r>
            <w:r>
              <w:rPr>
                <w:rFonts w:hint="eastAsia" w:ascii="仿宋" w:hAnsi="仿宋" w:eastAsia="仿宋" w:cs="仿宋"/>
                <w:sz w:val="28"/>
                <w:szCs w:val="28"/>
                <w:lang w:val="en-US" w:eastAsia="zh-CN"/>
              </w:rPr>
              <w:t>1</w:t>
            </w:r>
            <w:r>
              <w:rPr>
                <w:rFonts w:hint="eastAsia" w:ascii="仿宋" w:hAnsi="仿宋" w:eastAsia="仿宋" w:cs="仿宋"/>
                <w:sz w:val="28"/>
                <w:szCs w:val="28"/>
              </w:rPr>
              <w:t>.0分；</w:t>
            </w:r>
          </w:p>
          <w:p w14:paraId="38F5E29C">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sz w:val="28"/>
                <w:szCs w:val="28"/>
              </w:rPr>
            </w:pPr>
            <w:r>
              <w:rPr>
                <w:rFonts w:hint="eastAsia" w:ascii="仿宋" w:hAnsi="仿宋" w:eastAsia="仿宋" w:cs="仿宋"/>
                <w:sz w:val="28"/>
                <w:szCs w:val="28"/>
              </w:rPr>
              <w:t>（4）不提供的不得分。</w:t>
            </w:r>
          </w:p>
        </w:tc>
      </w:tr>
      <w:tr w14:paraId="031B3B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94" w:hRule="atLeast"/>
        </w:trPr>
        <w:tc>
          <w:tcPr>
            <w:tcW w:w="853" w:type="dxa"/>
            <w:vMerge w:val="continue"/>
          </w:tcPr>
          <w:p w14:paraId="705DD392">
            <w:pPr>
              <w:ind w:firstLine="0"/>
              <w:rPr>
                <w:sz w:val="28"/>
                <w:szCs w:val="28"/>
              </w:rPr>
            </w:pPr>
          </w:p>
        </w:tc>
        <w:tc>
          <w:tcPr>
            <w:tcW w:w="2063" w:type="dxa"/>
          </w:tcPr>
          <w:p w14:paraId="07C45C91">
            <w:pPr>
              <w:ind w:firstLine="0"/>
              <w:jc w:val="left"/>
              <w:rPr>
                <w:rFonts w:ascii="仿宋" w:hAnsi="仿宋" w:eastAsia="仿宋" w:cs="仿宋"/>
                <w:sz w:val="28"/>
                <w:szCs w:val="28"/>
              </w:rPr>
            </w:pPr>
            <w:r>
              <w:rPr>
                <w:rFonts w:hint="eastAsia" w:ascii="仿宋" w:hAnsi="仿宋" w:eastAsia="仿宋" w:cs="仿宋"/>
                <w:sz w:val="28"/>
                <w:szCs w:val="28"/>
              </w:rPr>
              <w:t>培训方案 (</w:t>
            </w:r>
            <w:r>
              <w:rPr>
                <w:rFonts w:hint="eastAsia" w:ascii="仿宋" w:hAnsi="仿宋" w:eastAsia="仿宋" w:cs="仿宋"/>
                <w:sz w:val="28"/>
                <w:szCs w:val="28"/>
                <w:lang w:val="en-US" w:eastAsia="zh-CN"/>
              </w:rPr>
              <w:t>4</w:t>
            </w:r>
            <w:r>
              <w:rPr>
                <w:rFonts w:hint="eastAsia" w:ascii="仿宋" w:hAnsi="仿宋" w:eastAsia="仿宋" w:cs="仿宋"/>
                <w:sz w:val="28"/>
                <w:szCs w:val="28"/>
              </w:rPr>
              <w:t>.0分)</w:t>
            </w:r>
          </w:p>
        </w:tc>
        <w:tc>
          <w:tcPr>
            <w:tcW w:w="7102" w:type="dxa"/>
          </w:tcPr>
          <w:p w14:paraId="0DDB48EB">
            <w:pPr>
              <w:keepNext w:val="0"/>
              <w:keepLines w:val="0"/>
              <w:pageBreakBefore w:val="0"/>
              <w:kinsoku/>
              <w:wordWrap/>
              <w:overflowPunct/>
              <w:topLinePunct w:val="0"/>
              <w:autoSpaceDE/>
              <w:autoSpaceDN/>
              <w:bidi w:val="0"/>
              <w:adjustRightInd/>
              <w:snapToGrid w:val="0"/>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投标人根据产品特点及保养事项对采购人所使用设备人员提供设备操作及操作过程中注意事项等内容进行培训：</w:t>
            </w:r>
          </w:p>
          <w:p w14:paraId="2AC0EDE6">
            <w:pPr>
              <w:keepNext w:val="0"/>
              <w:keepLines w:val="0"/>
              <w:pageBreakBefore w:val="0"/>
              <w:kinsoku/>
              <w:wordWrap/>
              <w:overflowPunct/>
              <w:topLinePunct w:val="0"/>
              <w:autoSpaceDE/>
              <w:autoSpaceDN/>
              <w:bidi w:val="0"/>
              <w:adjustRightInd/>
              <w:snapToGrid w:val="0"/>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1）投标人针对本项目为采购人提供有专人指导和简单上手的设备操作培训课程安排，有明确的课程及培训内容安排，对设备的操作过程中注意事项有详细指引，对特殊情况（如设备反复重启，操作失灵，错误操作等情况）有图文详解及完整应对培训的，得</w:t>
            </w:r>
            <w:r>
              <w:rPr>
                <w:rFonts w:hint="eastAsia" w:ascii="仿宋" w:hAnsi="仿宋" w:eastAsia="仿宋" w:cs="仿宋"/>
                <w:sz w:val="28"/>
                <w:szCs w:val="28"/>
                <w:lang w:val="en-US" w:eastAsia="zh-CN"/>
              </w:rPr>
              <w:t>4</w:t>
            </w:r>
            <w:r>
              <w:rPr>
                <w:rFonts w:hint="eastAsia" w:ascii="仿宋" w:hAnsi="仿宋" w:eastAsia="仿宋" w:cs="仿宋"/>
                <w:sz w:val="28"/>
                <w:szCs w:val="28"/>
              </w:rPr>
              <w:t>.0分；</w:t>
            </w:r>
          </w:p>
          <w:p w14:paraId="3B483AB8">
            <w:pPr>
              <w:keepNext w:val="0"/>
              <w:keepLines w:val="0"/>
              <w:pageBreakBefore w:val="0"/>
              <w:kinsoku/>
              <w:wordWrap/>
              <w:overflowPunct/>
              <w:topLinePunct w:val="0"/>
              <w:autoSpaceDE/>
              <w:autoSpaceDN/>
              <w:bidi w:val="0"/>
              <w:adjustRightInd/>
              <w:snapToGrid w:val="0"/>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（2）投标人针对本项目为采购人提供有专人指导和简单上手的设备操作培训课程安排，有简单的课程及培训内容安排，对设备的操作过程中注意事项有基本操作指引，得</w:t>
            </w:r>
            <w:r>
              <w:rPr>
                <w:rFonts w:hint="eastAsia" w:ascii="仿宋" w:hAnsi="仿宋" w:eastAsia="仿宋" w:cs="仿宋"/>
                <w:sz w:val="28"/>
                <w:szCs w:val="28"/>
                <w:lang w:val="en-US" w:eastAsia="zh-CN"/>
              </w:rPr>
              <w:t>2</w:t>
            </w:r>
            <w:r>
              <w:rPr>
                <w:rFonts w:hint="eastAsia" w:ascii="仿宋" w:hAnsi="仿宋" w:eastAsia="仿宋" w:cs="仿宋"/>
                <w:sz w:val="28"/>
                <w:szCs w:val="28"/>
              </w:rPr>
              <w:t>.0分；</w:t>
            </w:r>
          </w:p>
          <w:p w14:paraId="09BA9D82">
            <w:pPr>
              <w:keepNext w:val="0"/>
              <w:keepLines w:val="0"/>
              <w:pageBreakBefore w:val="0"/>
              <w:kinsoku/>
              <w:wordWrap/>
              <w:overflowPunct/>
              <w:topLinePunct w:val="0"/>
              <w:autoSpaceDE/>
              <w:autoSpaceDN/>
              <w:bidi w:val="0"/>
              <w:adjustRightInd/>
              <w:snapToGrid w:val="0"/>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（3）投标人提供指导和培训课程安排简单含糊，课程及培训内容安排不明确，对操作培训含糊其辞，得</w:t>
            </w:r>
            <w:r>
              <w:rPr>
                <w:rFonts w:hint="eastAsia" w:ascii="仿宋" w:hAnsi="仿宋" w:eastAsia="仿宋" w:cs="仿宋"/>
                <w:sz w:val="28"/>
                <w:szCs w:val="28"/>
                <w:lang w:val="en-US" w:eastAsia="zh-CN"/>
              </w:rPr>
              <w:t>1</w:t>
            </w:r>
            <w:r>
              <w:rPr>
                <w:rFonts w:hint="eastAsia" w:ascii="仿宋" w:hAnsi="仿宋" w:eastAsia="仿宋" w:cs="仿宋"/>
                <w:sz w:val="28"/>
                <w:szCs w:val="28"/>
              </w:rPr>
              <w:t xml:space="preserve">.0分； </w:t>
            </w:r>
          </w:p>
          <w:p w14:paraId="0F97D15F">
            <w:pPr>
              <w:keepNext w:val="0"/>
              <w:keepLines w:val="0"/>
              <w:pageBreakBefore w:val="0"/>
              <w:kinsoku/>
              <w:wordWrap/>
              <w:overflowPunct/>
              <w:topLinePunct w:val="0"/>
              <w:autoSpaceDE/>
              <w:autoSpaceDN/>
              <w:bidi w:val="0"/>
              <w:adjustRightInd/>
              <w:snapToGrid w:val="0"/>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（4）不提供的不得分。</w:t>
            </w:r>
          </w:p>
        </w:tc>
      </w:tr>
      <w:tr w14:paraId="24F70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08" w:hRule="atLeast"/>
        </w:trPr>
        <w:tc>
          <w:tcPr>
            <w:tcW w:w="853" w:type="dxa"/>
            <w:vMerge w:val="restart"/>
          </w:tcPr>
          <w:p w14:paraId="47AF3BC9">
            <w:pPr>
              <w:ind w:firstLine="0"/>
              <w:rPr>
                <w:rFonts w:ascii="仿宋" w:hAnsi="仿宋" w:eastAsia="仿宋" w:cs="仿宋"/>
                <w:sz w:val="28"/>
                <w:szCs w:val="28"/>
              </w:rPr>
            </w:pPr>
            <w:r>
              <w:rPr>
                <w:rFonts w:hint="eastAsia" w:ascii="仿宋" w:hAnsi="仿宋" w:eastAsia="仿宋" w:cs="仿宋"/>
                <w:sz w:val="28"/>
                <w:szCs w:val="28"/>
              </w:rPr>
              <w:t>商务部分</w:t>
            </w:r>
          </w:p>
        </w:tc>
        <w:tc>
          <w:tcPr>
            <w:tcW w:w="2063" w:type="dxa"/>
          </w:tcPr>
          <w:p w14:paraId="66FE21DA">
            <w:pPr>
              <w:ind w:firstLine="0"/>
              <w:jc w:val="left"/>
              <w:rPr>
                <w:rFonts w:ascii="仿宋" w:hAnsi="仿宋" w:eastAsia="仿宋" w:cs="仿宋"/>
                <w:sz w:val="28"/>
                <w:szCs w:val="28"/>
              </w:rPr>
            </w:pPr>
            <w:r>
              <w:rPr>
                <w:rFonts w:hint="eastAsia" w:ascii="仿宋" w:hAnsi="仿宋" w:eastAsia="仿宋" w:cs="仿宋"/>
                <w:sz w:val="28"/>
                <w:szCs w:val="28"/>
              </w:rPr>
              <w:t>投标人的信用、体系认证情况（</w:t>
            </w:r>
            <w:r>
              <w:rPr>
                <w:rFonts w:hint="eastAsia" w:ascii="仿宋" w:hAnsi="仿宋" w:eastAsia="仿宋" w:cs="仿宋"/>
                <w:sz w:val="28"/>
                <w:szCs w:val="28"/>
                <w:lang w:val="en-US" w:eastAsia="zh-CN"/>
              </w:rPr>
              <w:t>1.0</w:t>
            </w:r>
            <w:r>
              <w:rPr>
                <w:rFonts w:hint="eastAsia" w:ascii="仿宋" w:hAnsi="仿宋" w:eastAsia="仿宋" w:cs="仿宋"/>
                <w:sz w:val="28"/>
                <w:szCs w:val="28"/>
              </w:rPr>
              <w:t>分）</w:t>
            </w:r>
          </w:p>
        </w:tc>
        <w:tc>
          <w:tcPr>
            <w:tcW w:w="7102" w:type="dxa"/>
            <w:vAlign w:val="center"/>
          </w:tcPr>
          <w:p w14:paraId="586EEE32">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sz w:val="28"/>
                <w:szCs w:val="28"/>
              </w:rPr>
            </w:pPr>
            <w:r>
              <w:rPr>
                <w:rFonts w:hint="eastAsia" w:ascii="仿宋" w:hAnsi="仿宋" w:eastAsia="仿宋" w:cs="仿宋"/>
                <w:sz w:val="28"/>
                <w:szCs w:val="28"/>
              </w:rPr>
              <w:t>投标人具有有效期内的有效的质量管理体系认证证书，提供认证证书扫描件得</w:t>
            </w:r>
            <w:r>
              <w:rPr>
                <w:rFonts w:hint="eastAsia" w:ascii="仿宋" w:hAnsi="仿宋" w:eastAsia="仿宋" w:cs="仿宋"/>
                <w:sz w:val="28"/>
                <w:szCs w:val="28"/>
                <w:lang w:val="en-US" w:eastAsia="zh-CN"/>
              </w:rPr>
              <w:t>1.0</w:t>
            </w:r>
            <w:r>
              <w:rPr>
                <w:rFonts w:hint="eastAsia" w:ascii="仿宋" w:hAnsi="仿宋" w:eastAsia="仿宋" w:cs="仿宋"/>
                <w:sz w:val="28"/>
                <w:szCs w:val="28"/>
              </w:rPr>
              <w:t>分，不提供不得分。</w:t>
            </w:r>
          </w:p>
        </w:tc>
      </w:tr>
      <w:tr w14:paraId="06F5C0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continue"/>
          </w:tcPr>
          <w:p w14:paraId="2F116921">
            <w:pPr>
              <w:ind w:firstLine="0"/>
              <w:rPr>
                <w:rFonts w:ascii="仿宋" w:hAnsi="仿宋" w:eastAsia="仿宋" w:cs="仿宋"/>
                <w:sz w:val="28"/>
                <w:szCs w:val="28"/>
              </w:rPr>
            </w:pPr>
          </w:p>
        </w:tc>
        <w:tc>
          <w:tcPr>
            <w:tcW w:w="2063" w:type="dxa"/>
          </w:tcPr>
          <w:p w14:paraId="7A8949E8">
            <w:pPr>
              <w:ind w:firstLine="0"/>
              <w:jc w:val="left"/>
              <w:rPr>
                <w:rFonts w:ascii="仿宋" w:hAnsi="仿宋" w:eastAsia="仿宋" w:cs="仿宋"/>
                <w:sz w:val="28"/>
                <w:szCs w:val="28"/>
                <w:highlight w:val="yellow"/>
              </w:rPr>
            </w:pPr>
            <w:r>
              <w:rPr>
                <w:rFonts w:hint="eastAsia" w:ascii="仿宋" w:hAnsi="仿宋" w:eastAsia="仿宋" w:cs="仿宋"/>
                <w:sz w:val="28"/>
                <w:szCs w:val="28"/>
              </w:rPr>
              <w:t>同类项目业绩情况 (</w:t>
            </w:r>
            <w:r>
              <w:rPr>
                <w:rFonts w:hint="eastAsia" w:ascii="仿宋" w:hAnsi="仿宋" w:eastAsia="仿宋" w:cs="仿宋"/>
                <w:sz w:val="28"/>
                <w:szCs w:val="28"/>
                <w:lang w:val="en-US" w:eastAsia="zh-CN"/>
              </w:rPr>
              <w:t>6.0</w:t>
            </w:r>
            <w:r>
              <w:rPr>
                <w:rFonts w:hint="eastAsia" w:ascii="仿宋" w:hAnsi="仿宋" w:eastAsia="仿宋" w:cs="仿宋"/>
                <w:sz w:val="28"/>
                <w:szCs w:val="28"/>
              </w:rPr>
              <w:t>分)</w:t>
            </w:r>
          </w:p>
        </w:tc>
        <w:tc>
          <w:tcPr>
            <w:tcW w:w="7102" w:type="dxa"/>
          </w:tcPr>
          <w:p w14:paraId="09B876EE">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sz w:val="28"/>
                <w:szCs w:val="28"/>
                <w:highlight w:val="yellow"/>
              </w:rPr>
            </w:pPr>
            <w:r>
              <w:rPr>
                <w:rFonts w:hint="eastAsia" w:ascii="仿宋" w:hAnsi="仿宋" w:eastAsia="仿宋" w:cs="仿宋"/>
                <w:sz w:val="28"/>
                <w:szCs w:val="28"/>
              </w:rPr>
              <w:t>投标人</w:t>
            </w:r>
            <w:r>
              <w:rPr>
                <w:rFonts w:hint="eastAsia" w:ascii="仿宋" w:hAnsi="仿宋" w:eastAsia="仿宋" w:cs="仿宋"/>
                <w:b/>
                <w:bCs/>
                <w:sz w:val="28"/>
                <w:szCs w:val="28"/>
              </w:rPr>
              <w:t>同类</w:t>
            </w:r>
            <w:r>
              <w:rPr>
                <w:rFonts w:hint="eastAsia" w:ascii="仿宋" w:hAnsi="仿宋" w:eastAsia="仿宋" w:cs="仿宋"/>
                <w:b/>
                <w:bCs/>
                <w:sz w:val="28"/>
                <w:szCs w:val="28"/>
                <w:lang w:eastAsia="zh-CN"/>
              </w:rPr>
              <w:t>新生儿呼吸机</w:t>
            </w:r>
            <w:r>
              <w:rPr>
                <w:rFonts w:hint="eastAsia" w:ascii="仿宋" w:hAnsi="仿宋" w:eastAsia="仿宋" w:cs="仿宋"/>
                <w:sz w:val="28"/>
                <w:szCs w:val="28"/>
              </w:rPr>
              <w:t>设备供货业绩的评审：2023年1月1日至今投标人具有同类设备供货项目业绩，每提供1个业绩，得</w:t>
            </w:r>
            <w:r>
              <w:rPr>
                <w:rFonts w:hint="eastAsia" w:ascii="仿宋" w:hAnsi="仿宋" w:eastAsia="仿宋" w:cs="仿宋"/>
                <w:sz w:val="28"/>
                <w:szCs w:val="28"/>
                <w:lang w:val="en-US" w:eastAsia="zh-CN"/>
              </w:rPr>
              <w:t>2.0</w:t>
            </w:r>
            <w:r>
              <w:rPr>
                <w:rFonts w:hint="eastAsia" w:ascii="仿宋" w:hAnsi="仿宋" w:eastAsia="仿宋" w:cs="仿宋"/>
                <w:sz w:val="28"/>
                <w:szCs w:val="28"/>
              </w:rPr>
              <w:t>分，最高得</w:t>
            </w:r>
            <w:r>
              <w:rPr>
                <w:rFonts w:hint="eastAsia" w:ascii="仿宋" w:hAnsi="仿宋" w:eastAsia="仿宋" w:cs="仿宋"/>
                <w:sz w:val="28"/>
                <w:szCs w:val="28"/>
                <w:lang w:val="en-US" w:eastAsia="zh-CN"/>
              </w:rPr>
              <w:t>6.0</w:t>
            </w:r>
            <w:r>
              <w:rPr>
                <w:rFonts w:hint="eastAsia" w:ascii="仿宋" w:hAnsi="仿宋" w:eastAsia="仿宋" w:cs="仿宋"/>
                <w:sz w:val="28"/>
                <w:szCs w:val="28"/>
              </w:rPr>
              <w:t>分 (提供合同复印件</w:t>
            </w:r>
            <w:r>
              <w:rPr>
                <w:rFonts w:hint="eastAsia" w:ascii="仿宋" w:hAnsi="仿宋" w:eastAsia="仿宋" w:cs="仿宋"/>
                <w:sz w:val="28"/>
                <w:szCs w:val="28"/>
                <w:lang w:val="en-US" w:eastAsia="zh-CN"/>
              </w:rPr>
              <w:t>及对应发票</w:t>
            </w:r>
            <w:r>
              <w:rPr>
                <w:rFonts w:hint="eastAsia" w:ascii="仿宋" w:hAnsi="仿宋" w:eastAsia="仿宋" w:cs="仿宋"/>
                <w:sz w:val="28"/>
                <w:szCs w:val="28"/>
              </w:rPr>
              <w:t>，以签订合同的时间为准，不提供不得分）</w:t>
            </w:r>
          </w:p>
        </w:tc>
      </w:tr>
      <w:tr w14:paraId="7A603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continue"/>
          </w:tcPr>
          <w:p w14:paraId="46B8053F">
            <w:pPr>
              <w:rPr>
                <w:sz w:val="28"/>
                <w:szCs w:val="28"/>
              </w:rPr>
            </w:pPr>
          </w:p>
        </w:tc>
        <w:tc>
          <w:tcPr>
            <w:tcW w:w="2063" w:type="dxa"/>
          </w:tcPr>
          <w:p w14:paraId="44DC7BD0">
            <w:pPr>
              <w:ind w:firstLine="0"/>
              <w:jc w:val="left"/>
              <w:rPr>
                <w:rFonts w:ascii="仿宋" w:hAnsi="仿宋" w:eastAsia="仿宋" w:cs="仿宋"/>
                <w:sz w:val="28"/>
                <w:szCs w:val="28"/>
              </w:rPr>
            </w:pPr>
            <w:r>
              <w:rPr>
                <w:rFonts w:hint="eastAsia" w:ascii="仿宋" w:hAnsi="仿宋" w:eastAsia="仿宋" w:cs="仿宋"/>
                <w:sz w:val="28"/>
                <w:szCs w:val="28"/>
              </w:rPr>
              <w:t>产品授权证明 (</w:t>
            </w:r>
            <w:r>
              <w:rPr>
                <w:rFonts w:hint="eastAsia" w:ascii="仿宋" w:hAnsi="仿宋" w:eastAsia="仿宋" w:cs="仿宋"/>
                <w:sz w:val="28"/>
                <w:szCs w:val="28"/>
                <w:lang w:val="en-US" w:eastAsia="zh-CN"/>
              </w:rPr>
              <w:t>1.0</w:t>
            </w:r>
            <w:r>
              <w:rPr>
                <w:rFonts w:hint="eastAsia" w:ascii="仿宋" w:hAnsi="仿宋" w:eastAsia="仿宋" w:cs="仿宋"/>
                <w:sz w:val="28"/>
                <w:szCs w:val="28"/>
              </w:rPr>
              <w:t>分)</w:t>
            </w:r>
          </w:p>
        </w:tc>
        <w:tc>
          <w:tcPr>
            <w:tcW w:w="7102" w:type="dxa"/>
          </w:tcPr>
          <w:p w14:paraId="59A32927">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sz w:val="28"/>
                <w:szCs w:val="28"/>
              </w:rPr>
            </w:pPr>
            <w:r>
              <w:rPr>
                <w:rFonts w:hint="eastAsia" w:ascii="仿宋" w:hAnsi="仿宋" w:eastAsia="仿宋" w:cs="仿宋"/>
                <w:sz w:val="28"/>
                <w:szCs w:val="28"/>
              </w:rPr>
              <w:t>为了保证核心产品具有追溯性且保证质量，投标人为代理商投标响应的，提供生产企业出具的有效授权证明，得</w:t>
            </w:r>
            <w:r>
              <w:rPr>
                <w:rFonts w:hint="eastAsia" w:ascii="仿宋" w:hAnsi="仿宋" w:eastAsia="仿宋" w:cs="仿宋"/>
                <w:sz w:val="28"/>
                <w:szCs w:val="28"/>
                <w:lang w:val="en-US" w:eastAsia="zh-CN"/>
              </w:rPr>
              <w:t>1.0</w:t>
            </w:r>
            <w:r>
              <w:rPr>
                <w:rFonts w:hint="eastAsia" w:ascii="仿宋" w:hAnsi="仿宋" w:eastAsia="仿宋" w:cs="仿宋"/>
                <w:sz w:val="28"/>
                <w:szCs w:val="28"/>
              </w:rPr>
              <w:t>分，若投标人为生产企业投标的（需提供相关证明文件）也得</w:t>
            </w:r>
            <w:r>
              <w:rPr>
                <w:rFonts w:hint="eastAsia" w:ascii="仿宋" w:hAnsi="仿宋" w:eastAsia="仿宋" w:cs="仿宋"/>
                <w:sz w:val="28"/>
                <w:szCs w:val="28"/>
                <w:lang w:val="en-US" w:eastAsia="zh-CN"/>
              </w:rPr>
              <w:t>1</w:t>
            </w:r>
            <w:r>
              <w:rPr>
                <w:sz w:val="28"/>
                <w:szCs w:val="28"/>
              </w:rPr>
              <w:t>.0</w:t>
            </w:r>
            <w:r>
              <w:rPr>
                <w:rFonts w:hint="eastAsia" w:ascii="仿宋" w:hAnsi="仿宋" w:eastAsia="仿宋" w:cs="仿宋"/>
                <w:sz w:val="28"/>
                <w:szCs w:val="28"/>
              </w:rPr>
              <w:t>分，其他不得分。</w:t>
            </w:r>
          </w:p>
        </w:tc>
      </w:tr>
      <w:tr w14:paraId="05E97C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3" w:type="dxa"/>
            <w:vMerge w:val="continue"/>
          </w:tcPr>
          <w:p w14:paraId="13E7416D">
            <w:pPr>
              <w:rPr>
                <w:sz w:val="28"/>
                <w:szCs w:val="28"/>
              </w:rPr>
            </w:pPr>
          </w:p>
        </w:tc>
        <w:tc>
          <w:tcPr>
            <w:tcW w:w="2063" w:type="dxa"/>
          </w:tcPr>
          <w:p w14:paraId="54AC1A22">
            <w:pPr>
              <w:ind w:firstLine="0"/>
              <w:jc w:val="left"/>
              <w:rPr>
                <w:rFonts w:hint="default" w:ascii="仿宋" w:hAnsi="仿宋" w:eastAsia="仿宋" w:cs="仿宋"/>
                <w:sz w:val="28"/>
                <w:szCs w:val="28"/>
              </w:rPr>
            </w:pPr>
            <w:r>
              <w:rPr>
                <w:rFonts w:hint="eastAsia" w:ascii="仿宋" w:hAnsi="仿宋" w:eastAsia="仿宋" w:cs="仿宋"/>
                <w:sz w:val="28"/>
                <w:szCs w:val="28"/>
              </w:rPr>
              <w:t>投标报价得分 (</w:t>
            </w:r>
            <w:r>
              <w:rPr>
                <w:rFonts w:hint="eastAsia" w:ascii="仿宋" w:hAnsi="仿宋" w:eastAsia="仿宋" w:cs="仿宋"/>
                <w:sz w:val="28"/>
                <w:szCs w:val="28"/>
                <w:lang w:eastAsia="zh-CN"/>
              </w:rPr>
              <w:t>3</w:t>
            </w:r>
            <w:r>
              <w:rPr>
                <w:rFonts w:hint="eastAsia" w:ascii="仿宋" w:hAnsi="仿宋" w:eastAsia="仿宋" w:cs="仿宋"/>
                <w:sz w:val="28"/>
                <w:szCs w:val="28"/>
              </w:rPr>
              <w:t>0.0分)</w:t>
            </w:r>
          </w:p>
        </w:tc>
        <w:tc>
          <w:tcPr>
            <w:tcW w:w="7102" w:type="dxa"/>
          </w:tcPr>
          <w:p w14:paraId="761C5EC8">
            <w:pPr>
              <w:pStyle w:val="30"/>
              <w:keepNext w:val="0"/>
              <w:keepLines w:val="0"/>
              <w:pageBreakBefore w:val="0"/>
              <w:kinsoku/>
              <w:wordWrap/>
              <w:overflowPunct/>
              <w:topLinePunct w:val="0"/>
              <w:autoSpaceDE/>
              <w:autoSpaceDN/>
              <w:bidi w:val="0"/>
              <w:adjustRightInd/>
              <w:spacing w:line="400" w:lineRule="exact"/>
              <w:ind w:firstLine="574" w:firstLineChars="200"/>
              <w:jc w:val="both"/>
              <w:textAlignment w:val="auto"/>
              <w:rPr>
                <w:rFonts w:hint="default" w:ascii="仿宋" w:hAnsi="仿宋" w:eastAsia="仿宋" w:cs="仿宋"/>
                <w:sz w:val="28"/>
                <w:szCs w:val="28"/>
                <w:lang w:eastAsia="zh-CN"/>
              </w:rPr>
            </w:pPr>
            <w:r>
              <w:rPr>
                <w:rFonts w:hint="eastAsia" w:ascii="仿宋" w:hAnsi="仿宋" w:eastAsia="仿宋" w:cstheme="minorBidi"/>
                <w:sz w:val="28"/>
                <w:szCs w:val="28"/>
              </w:rPr>
              <w:t>投标报价得分(30.0分)：投标报价得分＝（基准价/报价）×价格分值【注：满足采购文件要求且投标价格最低的投标报价为评标基准价，最低报价不是中标的唯一依据。】</w:t>
            </w:r>
          </w:p>
        </w:tc>
      </w:tr>
      <w:tr w14:paraId="093D3A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18" w:type="dxa"/>
            <w:gridSpan w:val="3"/>
          </w:tcPr>
          <w:p w14:paraId="44B3F66B">
            <w:pPr>
              <w:rPr>
                <w:rFonts w:eastAsia="仿宋"/>
              </w:rPr>
            </w:pPr>
            <w:r>
              <w:rPr>
                <w:rFonts w:hint="eastAsia" w:ascii="仿宋" w:hAnsi="仿宋" w:eastAsia="仿宋" w:cs="仿宋"/>
                <w:sz w:val="28"/>
                <w:szCs w:val="28"/>
              </w:rPr>
              <w:t>说明：打“★”号条款为实质性条款，若有任何一条负偏离或不满足则导致投标无效。</w:t>
            </w:r>
            <w:r>
              <w:rPr>
                <w:rFonts w:hint="eastAsia" w:ascii="仿宋" w:hAnsi="仿宋" w:eastAsia="仿宋" w:cs="仿宋"/>
                <w:sz w:val="28"/>
                <w:szCs w:val="28"/>
              </w:rPr>
              <w:br w:type="textWrapping"/>
            </w:r>
            <w:r>
              <w:rPr>
                <w:rFonts w:hint="eastAsia" w:ascii="仿宋" w:hAnsi="仿宋" w:eastAsia="仿宋" w:cs="仿宋"/>
                <w:sz w:val="28"/>
                <w:szCs w:val="28"/>
              </w:rPr>
              <w:t xml:space="preserve">     打“▲”号条款为重要技术参数，若有部分“▲”条款未响应或不满足，将导致其响应性评审加重扣分，但不作为无效投标条款。</w:t>
            </w:r>
          </w:p>
        </w:tc>
      </w:tr>
    </w:tbl>
    <w:p w14:paraId="53D5D884">
      <w:pPr>
        <w:pStyle w:val="15"/>
        <w:spacing w:before="0" w:after="0" w:line="240" w:lineRule="auto"/>
        <w:ind w:left="0" w:leftChars="0" w:firstLine="0" w:firstLineChars="0"/>
        <w:rPr>
          <w:rFonts w:hint="eastAsia" w:ascii="仿宋" w:hAnsi="仿宋" w:eastAsia="仿宋" w:cs="Helvetica Neue"/>
          <w:i/>
          <w:iCs/>
          <w:kern w:val="0"/>
          <w:sz w:val="28"/>
          <w:szCs w:val="28"/>
          <w:lang w:eastAsia="zh-CN"/>
        </w:rPr>
      </w:pPr>
    </w:p>
    <w:sectPr>
      <w:footerReference r:id="rId5" w:type="default"/>
      <w:footerReference r:id="rId6" w:type="even"/>
      <w:pgSz w:w="11906" w:h="16838"/>
      <w:pgMar w:top="2098" w:right="1474" w:bottom="1984" w:left="1587" w:header="851" w:footer="1389" w:gutter="0"/>
      <w:cols w:space="0" w:num="1"/>
      <w:docGrid w:type="linesAndChars" w:linePitch="589" w:charSpace="1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368"/>
    </w:sdtPr>
    <w:sdtContent>
      <w:p w14:paraId="6999695F">
        <w:pPr>
          <w:pStyle w:val="7"/>
          <w:ind w:right="320" w:rightChars="100" w:firstLine="0"/>
          <w:jc w:val="right"/>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15</w:t>
        </w:r>
        <w:r>
          <w:rPr>
            <w:rFonts w:ascii="宋体" w:hAnsi="宋体" w:eastAsia="宋体"/>
            <w:sz w:val="28"/>
            <w:szCs w:val="28"/>
          </w:rPr>
          <w:fldChar w:fldCharType="end"/>
        </w:r>
        <w:r>
          <w:rPr>
            <w:rFonts w:hint="eastAsia" w:ascii="宋体" w:hAnsi="宋体" w:eastAsia="宋体"/>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19E3B">
    <w:pPr>
      <w:pStyle w:val="7"/>
      <w:ind w:left="320" w:leftChars="100" w:firstLine="0"/>
    </w:pPr>
    <w:r>
      <w:rPr>
        <w:rFonts w:hint="eastAsia" w:ascii="宋体" w:hAnsi="宋体" w:eastAsia="宋体"/>
        <w:sz w:val="28"/>
        <w:szCs w:val="28"/>
      </w:rPr>
      <w:t xml:space="preserve">— </w:t>
    </w:r>
    <w:sdt>
      <w:sdtPr>
        <w:rPr>
          <w:rFonts w:ascii="宋体" w:hAnsi="宋体" w:eastAsia="宋体"/>
          <w:sz w:val="28"/>
          <w:szCs w:val="28"/>
        </w:rPr>
        <w:id w:val="147454186"/>
      </w:sdtPr>
      <w:sdtEndPr>
        <w:rPr>
          <w:rFonts w:ascii="Times New Roman" w:hAnsi="Times New Roman" w:eastAsia="仿宋_GB2312"/>
          <w:sz w:val="18"/>
          <w:szCs w:val="18"/>
        </w:rPr>
      </w:sdtEndPr>
      <w:sdtContent>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10</w:t>
        </w:r>
        <w:r>
          <w:rPr>
            <w:rFonts w:ascii="宋体" w:hAnsi="宋体" w:eastAsia="宋体"/>
            <w:sz w:val="28"/>
            <w:szCs w:val="28"/>
          </w:rPr>
          <w:fldChar w:fldCharType="end"/>
        </w:r>
        <w:r>
          <w:rPr>
            <w:rFonts w:hint="eastAsia" w:ascii="宋体" w:hAnsi="宋体" w:eastAsia="宋体"/>
            <w:sz w:val="28"/>
            <w:szCs w:val="28"/>
          </w:rPr>
          <w:t xml:space="preserve"> —</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420"/>
  <w:drawingGridHorizontalSpacing w:val="164"/>
  <w:drawingGridVerticalSpacing w:val="29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0NzQ0NmNmYjlhYmM0NDBmZTg1MDM0MTljOTVkODIifQ=="/>
  </w:docVars>
  <w:rsids>
    <w:rsidRoot w:val="009A59A7"/>
    <w:rsid w:val="0000008E"/>
    <w:rsid w:val="00000136"/>
    <w:rsid w:val="000007A8"/>
    <w:rsid w:val="00006C47"/>
    <w:rsid w:val="000076DA"/>
    <w:rsid w:val="0001143F"/>
    <w:rsid w:val="00013177"/>
    <w:rsid w:val="0002365E"/>
    <w:rsid w:val="0002613A"/>
    <w:rsid w:val="00026AD8"/>
    <w:rsid w:val="00030F1A"/>
    <w:rsid w:val="00031572"/>
    <w:rsid w:val="00034C57"/>
    <w:rsid w:val="00052DFD"/>
    <w:rsid w:val="000541F4"/>
    <w:rsid w:val="00054B7F"/>
    <w:rsid w:val="00076578"/>
    <w:rsid w:val="00081243"/>
    <w:rsid w:val="00082650"/>
    <w:rsid w:val="00087029"/>
    <w:rsid w:val="0008752A"/>
    <w:rsid w:val="00092FC1"/>
    <w:rsid w:val="000A1C14"/>
    <w:rsid w:val="000A36F5"/>
    <w:rsid w:val="000A3F79"/>
    <w:rsid w:val="000B0F95"/>
    <w:rsid w:val="000B1C44"/>
    <w:rsid w:val="000B40A0"/>
    <w:rsid w:val="000B4A23"/>
    <w:rsid w:val="000B4E35"/>
    <w:rsid w:val="000B5C73"/>
    <w:rsid w:val="000C18DF"/>
    <w:rsid w:val="000C1EB1"/>
    <w:rsid w:val="000C4553"/>
    <w:rsid w:val="000D7232"/>
    <w:rsid w:val="000E57D1"/>
    <w:rsid w:val="000F632B"/>
    <w:rsid w:val="0010292A"/>
    <w:rsid w:val="0010309F"/>
    <w:rsid w:val="00103817"/>
    <w:rsid w:val="00103B7E"/>
    <w:rsid w:val="00120C2B"/>
    <w:rsid w:val="00120FCC"/>
    <w:rsid w:val="00122162"/>
    <w:rsid w:val="0012262D"/>
    <w:rsid w:val="00123214"/>
    <w:rsid w:val="001244C5"/>
    <w:rsid w:val="001302BF"/>
    <w:rsid w:val="00130F95"/>
    <w:rsid w:val="001315C1"/>
    <w:rsid w:val="001325CD"/>
    <w:rsid w:val="001344AF"/>
    <w:rsid w:val="00141299"/>
    <w:rsid w:val="00141842"/>
    <w:rsid w:val="00143D26"/>
    <w:rsid w:val="001440DF"/>
    <w:rsid w:val="00145F9F"/>
    <w:rsid w:val="00146A53"/>
    <w:rsid w:val="00155249"/>
    <w:rsid w:val="00156673"/>
    <w:rsid w:val="0015713B"/>
    <w:rsid w:val="001601ED"/>
    <w:rsid w:val="00161113"/>
    <w:rsid w:val="00163947"/>
    <w:rsid w:val="00163FFE"/>
    <w:rsid w:val="0018104B"/>
    <w:rsid w:val="0018366B"/>
    <w:rsid w:val="00193F88"/>
    <w:rsid w:val="00194029"/>
    <w:rsid w:val="00194823"/>
    <w:rsid w:val="00195EBA"/>
    <w:rsid w:val="00196EDA"/>
    <w:rsid w:val="00197854"/>
    <w:rsid w:val="001A24E6"/>
    <w:rsid w:val="001A4447"/>
    <w:rsid w:val="001B1333"/>
    <w:rsid w:val="001B1B71"/>
    <w:rsid w:val="001B2A68"/>
    <w:rsid w:val="001C4EA1"/>
    <w:rsid w:val="001C7344"/>
    <w:rsid w:val="001D0A86"/>
    <w:rsid w:val="001D277D"/>
    <w:rsid w:val="001D57C9"/>
    <w:rsid w:val="001E66AD"/>
    <w:rsid w:val="001E748A"/>
    <w:rsid w:val="001E75F5"/>
    <w:rsid w:val="001F1E42"/>
    <w:rsid w:val="001F2B01"/>
    <w:rsid w:val="001F61A3"/>
    <w:rsid w:val="00201605"/>
    <w:rsid w:val="00201B09"/>
    <w:rsid w:val="0020337F"/>
    <w:rsid w:val="00205D93"/>
    <w:rsid w:val="00211325"/>
    <w:rsid w:val="00213CF6"/>
    <w:rsid w:val="00217EB6"/>
    <w:rsid w:val="0022025E"/>
    <w:rsid w:val="0022087F"/>
    <w:rsid w:val="002235DD"/>
    <w:rsid w:val="00225074"/>
    <w:rsid w:val="00225A40"/>
    <w:rsid w:val="00225D74"/>
    <w:rsid w:val="002263DC"/>
    <w:rsid w:val="00227FF5"/>
    <w:rsid w:val="0024036D"/>
    <w:rsid w:val="002414CF"/>
    <w:rsid w:val="00243695"/>
    <w:rsid w:val="0025147A"/>
    <w:rsid w:val="00257A98"/>
    <w:rsid w:val="00257BBF"/>
    <w:rsid w:val="0026359B"/>
    <w:rsid w:val="00263A16"/>
    <w:rsid w:val="00265CB5"/>
    <w:rsid w:val="00271D88"/>
    <w:rsid w:val="0027272D"/>
    <w:rsid w:val="00273DFA"/>
    <w:rsid w:val="002751DD"/>
    <w:rsid w:val="00275BDD"/>
    <w:rsid w:val="00277D7F"/>
    <w:rsid w:val="00285A10"/>
    <w:rsid w:val="00287327"/>
    <w:rsid w:val="0029452B"/>
    <w:rsid w:val="002A35A5"/>
    <w:rsid w:val="002B0637"/>
    <w:rsid w:val="002B0DC8"/>
    <w:rsid w:val="002B16C9"/>
    <w:rsid w:val="002B39A4"/>
    <w:rsid w:val="002B571C"/>
    <w:rsid w:val="002B66FD"/>
    <w:rsid w:val="002C0DD6"/>
    <w:rsid w:val="002C6A1A"/>
    <w:rsid w:val="002C7F54"/>
    <w:rsid w:val="002D7395"/>
    <w:rsid w:val="002E237F"/>
    <w:rsid w:val="002E26D3"/>
    <w:rsid w:val="002E412B"/>
    <w:rsid w:val="002E41F5"/>
    <w:rsid w:val="002E61B9"/>
    <w:rsid w:val="00301D14"/>
    <w:rsid w:val="00304B70"/>
    <w:rsid w:val="0030630E"/>
    <w:rsid w:val="00306A5A"/>
    <w:rsid w:val="003118DE"/>
    <w:rsid w:val="00317450"/>
    <w:rsid w:val="00317B17"/>
    <w:rsid w:val="00321DFD"/>
    <w:rsid w:val="00324D61"/>
    <w:rsid w:val="00331269"/>
    <w:rsid w:val="00331765"/>
    <w:rsid w:val="00335706"/>
    <w:rsid w:val="003462FA"/>
    <w:rsid w:val="0035436B"/>
    <w:rsid w:val="00354B6F"/>
    <w:rsid w:val="00354BBF"/>
    <w:rsid w:val="00357D77"/>
    <w:rsid w:val="0036243B"/>
    <w:rsid w:val="003627A5"/>
    <w:rsid w:val="00363973"/>
    <w:rsid w:val="00363C52"/>
    <w:rsid w:val="00365D7C"/>
    <w:rsid w:val="00367A87"/>
    <w:rsid w:val="00373D66"/>
    <w:rsid w:val="00375165"/>
    <w:rsid w:val="00385974"/>
    <w:rsid w:val="00396D38"/>
    <w:rsid w:val="003975FC"/>
    <w:rsid w:val="003A2354"/>
    <w:rsid w:val="003A287F"/>
    <w:rsid w:val="003A3428"/>
    <w:rsid w:val="003A6B84"/>
    <w:rsid w:val="003A7FDB"/>
    <w:rsid w:val="003B15FA"/>
    <w:rsid w:val="003B6F29"/>
    <w:rsid w:val="003C06FD"/>
    <w:rsid w:val="003C25CA"/>
    <w:rsid w:val="003C778E"/>
    <w:rsid w:val="003D0D49"/>
    <w:rsid w:val="003E3E9A"/>
    <w:rsid w:val="003E6D58"/>
    <w:rsid w:val="003E7246"/>
    <w:rsid w:val="003F1C9C"/>
    <w:rsid w:val="003F292B"/>
    <w:rsid w:val="003F2E03"/>
    <w:rsid w:val="004025CD"/>
    <w:rsid w:val="00403BED"/>
    <w:rsid w:val="0040411E"/>
    <w:rsid w:val="004052B2"/>
    <w:rsid w:val="00407D3F"/>
    <w:rsid w:val="00411B07"/>
    <w:rsid w:val="00412D70"/>
    <w:rsid w:val="00414DD2"/>
    <w:rsid w:val="0042121D"/>
    <w:rsid w:val="004258B3"/>
    <w:rsid w:val="00433431"/>
    <w:rsid w:val="0043482F"/>
    <w:rsid w:val="004462BF"/>
    <w:rsid w:val="0044771C"/>
    <w:rsid w:val="0045167E"/>
    <w:rsid w:val="004542D9"/>
    <w:rsid w:val="004555DA"/>
    <w:rsid w:val="0045705A"/>
    <w:rsid w:val="00462E0E"/>
    <w:rsid w:val="00463933"/>
    <w:rsid w:val="004743AB"/>
    <w:rsid w:val="00475E05"/>
    <w:rsid w:val="00476204"/>
    <w:rsid w:val="004762A8"/>
    <w:rsid w:val="00477D13"/>
    <w:rsid w:val="00481685"/>
    <w:rsid w:val="004849D9"/>
    <w:rsid w:val="00485C46"/>
    <w:rsid w:val="00493C16"/>
    <w:rsid w:val="00493F4A"/>
    <w:rsid w:val="00494368"/>
    <w:rsid w:val="00494B9F"/>
    <w:rsid w:val="004A044A"/>
    <w:rsid w:val="004A6E29"/>
    <w:rsid w:val="004B144E"/>
    <w:rsid w:val="004B5CDD"/>
    <w:rsid w:val="004B71F6"/>
    <w:rsid w:val="004B7AFA"/>
    <w:rsid w:val="004C01E3"/>
    <w:rsid w:val="004C08BF"/>
    <w:rsid w:val="004C0BB3"/>
    <w:rsid w:val="004D4DC6"/>
    <w:rsid w:val="004D5105"/>
    <w:rsid w:val="004D6964"/>
    <w:rsid w:val="004F04AA"/>
    <w:rsid w:val="004F2AC4"/>
    <w:rsid w:val="004F4C25"/>
    <w:rsid w:val="004F5211"/>
    <w:rsid w:val="005022A4"/>
    <w:rsid w:val="00511147"/>
    <w:rsid w:val="00514FB2"/>
    <w:rsid w:val="00516D24"/>
    <w:rsid w:val="00517059"/>
    <w:rsid w:val="00517202"/>
    <w:rsid w:val="00522C2F"/>
    <w:rsid w:val="0052575B"/>
    <w:rsid w:val="00532801"/>
    <w:rsid w:val="00535B02"/>
    <w:rsid w:val="00541E27"/>
    <w:rsid w:val="0054519E"/>
    <w:rsid w:val="00556000"/>
    <w:rsid w:val="00561A2B"/>
    <w:rsid w:val="00562309"/>
    <w:rsid w:val="00565508"/>
    <w:rsid w:val="00565873"/>
    <w:rsid w:val="005669DE"/>
    <w:rsid w:val="005720F7"/>
    <w:rsid w:val="005733B5"/>
    <w:rsid w:val="00575F65"/>
    <w:rsid w:val="005769D9"/>
    <w:rsid w:val="0057702D"/>
    <w:rsid w:val="00577BC2"/>
    <w:rsid w:val="00583A4F"/>
    <w:rsid w:val="00583CA1"/>
    <w:rsid w:val="00590D69"/>
    <w:rsid w:val="00591462"/>
    <w:rsid w:val="005A07A6"/>
    <w:rsid w:val="005A64D4"/>
    <w:rsid w:val="005A773E"/>
    <w:rsid w:val="005B3C9C"/>
    <w:rsid w:val="005B610C"/>
    <w:rsid w:val="005B6A5F"/>
    <w:rsid w:val="005C6DE6"/>
    <w:rsid w:val="005D1C18"/>
    <w:rsid w:val="005D66EC"/>
    <w:rsid w:val="005E77C3"/>
    <w:rsid w:val="005E7A6D"/>
    <w:rsid w:val="005F0B80"/>
    <w:rsid w:val="005F5EB3"/>
    <w:rsid w:val="005F6FA7"/>
    <w:rsid w:val="00602698"/>
    <w:rsid w:val="006031DD"/>
    <w:rsid w:val="006033F3"/>
    <w:rsid w:val="006033F4"/>
    <w:rsid w:val="00607155"/>
    <w:rsid w:val="00607359"/>
    <w:rsid w:val="00611496"/>
    <w:rsid w:val="006162E4"/>
    <w:rsid w:val="00616AAD"/>
    <w:rsid w:val="006221EF"/>
    <w:rsid w:val="00622D18"/>
    <w:rsid w:val="006242D9"/>
    <w:rsid w:val="00625C7A"/>
    <w:rsid w:val="00626C8C"/>
    <w:rsid w:val="00630355"/>
    <w:rsid w:val="00631FE5"/>
    <w:rsid w:val="00633CE2"/>
    <w:rsid w:val="00634A37"/>
    <w:rsid w:val="0065210E"/>
    <w:rsid w:val="00654F7F"/>
    <w:rsid w:val="0065726F"/>
    <w:rsid w:val="006573B3"/>
    <w:rsid w:val="00657FE3"/>
    <w:rsid w:val="00661709"/>
    <w:rsid w:val="00662F16"/>
    <w:rsid w:val="00664884"/>
    <w:rsid w:val="00670CE9"/>
    <w:rsid w:val="00672886"/>
    <w:rsid w:val="00672B3F"/>
    <w:rsid w:val="00673408"/>
    <w:rsid w:val="00676537"/>
    <w:rsid w:val="0067711A"/>
    <w:rsid w:val="00677F80"/>
    <w:rsid w:val="00681572"/>
    <w:rsid w:val="0068181F"/>
    <w:rsid w:val="00681CBA"/>
    <w:rsid w:val="0068467D"/>
    <w:rsid w:val="0068678D"/>
    <w:rsid w:val="006870CE"/>
    <w:rsid w:val="006931E5"/>
    <w:rsid w:val="006A3C5A"/>
    <w:rsid w:val="006A3E39"/>
    <w:rsid w:val="006B00BC"/>
    <w:rsid w:val="006B10A0"/>
    <w:rsid w:val="006B1C21"/>
    <w:rsid w:val="006B5BD9"/>
    <w:rsid w:val="006B6D32"/>
    <w:rsid w:val="006C50BA"/>
    <w:rsid w:val="006C7E9A"/>
    <w:rsid w:val="006D04D8"/>
    <w:rsid w:val="006D68CE"/>
    <w:rsid w:val="006E4287"/>
    <w:rsid w:val="006E4C8E"/>
    <w:rsid w:val="006E7225"/>
    <w:rsid w:val="006F5FEB"/>
    <w:rsid w:val="00701D5E"/>
    <w:rsid w:val="0070270D"/>
    <w:rsid w:val="00702963"/>
    <w:rsid w:val="00703CFC"/>
    <w:rsid w:val="00703F4D"/>
    <w:rsid w:val="0070775C"/>
    <w:rsid w:val="007101E9"/>
    <w:rsid w:val="0071150D"/>
    <w:rsid w:val="00711A06"/>
    <w:rsid w:val="00720675"/>
    <w:rsid w:val="0072294B"/>
    <w:rsid w:val="00731AA4"/>
    <w:rsid w:val="00736108"/>
    <w:rsid w:val="00737005"/>
    <w:rsid w:val="007372CD"/>
    <w:rsid w:val="007422EF"/>
    <w:rsid w:val="007444AE"/>
    <w:rsid w:val="0074764A"/>
    <w:rsid w:val="00747BBE"/>
    <w:rsid w:val="00747CAC"/>
    <w:rsid w:val="00752B24"/>
    <w:rsid w:val="00764E54"/>
    <w:rsid w:val="0076752D"/>
    <w:rsid w:val="00767BAC"/>
    <w:rsid w:val="0077065B"/>
    <w:rsid w:val="00774AD8"/>
    <w:rsid w:val="00776BEE"/>
    <w:rsid w:val="007876D7"/>
    <w:rsid w:val="00790882"/>
    <w:rsid w:val="00792A55"/>
    <w:rsid w:val="00797A50"/>
    <w:rsid w:val="007A0181"/>
    <w:rsid w:val="007A21EE"/>
    <w:rsid w:val="007B2492"/>
    <w:rsid w:val="007B3BB0"/>
    <w:rsid w:val="007C1B64"/>
    <w:rsid w:val="007C2CBE"/>
    <w:rsid w:val="007C420A"/>
    <w:rsid w:val="007C5AA2"/>
    <w:rsid w:val="007D1022"/>
    <w:rsid w:val="007D2A49"/>
    <w:rsid w:val="007D7699"/>
    <w:rsid w:val="007E1CA9"/>
    <w:rsid w:val="007E29C5"/>
    <w:rsid w:val="007E49F3"/>
    <w:rsid w:val="007E51BC"/>
    <w:rsid w:val="007E522C"/>
    <w:rsid w:val="007E7E57"/>
    <w:rsid w:val="007F47A4"/>
    <w:rsid w:val="0080214E"/>
    <w:rsid w:val="0080231C"/>
    <w:rsid w:val="00804542"/>
    <w:rsid w:val="00806170"/>
    <w:rsid w:val="008117FC"/>
    <w:rsid w:val="00817134"/>
    <w:rsid w:val="00821A2F"/>
    <w:rsid w:val="0082281C"/>
    <w:rsid w:val="00822D3F"/>
    <w:rsid w:val="00823456"/>
    <w:rsid w:val="00824F06"/>
    <w:rsid w:val="008257FB"/>
    <w:rsid w:val="00831957"/>
    <w:rsid w:val="008355A3"/>
    <w:rsid w:val="008355D1"/>
    <w:rsid w:val="00836BD2"/>
    <w:rsid w:val="00840DB9"/>
    <w:rsid w:val="00841E40"/>
    <w:rsid w:val="008421C6"/>
    <w:rsid w:val="008455BF"/>
    <w:rsid w:val="00846983"/>
    <w:rsid w:val="008514AB"/>
    <w:rsid w:val="0085448E"/>
    <w:rsid w:val="00860BA1"/>
    <w:rsid w:val="0086615A"/>
    <w:rsid w:val="00866CE3"/>
    <w:rsid w:val="0087079A"/>
    <w:rsid w:val="00870ACA"/>
    <w:rsid w:val="00872168"/>
    <w:rsid w:val="00873C2D"/>
    <w:rsid w:val="00883868"/>
    <w:rsid w:val="008870BE"/>
    <w:rsid w:val="00890177"/>
    <w:rsid w:val="00890A06"/>
    <w:rsid w:val="00890A16"/>
    <w:rsid w:val="00895291"/>
    <w:rsid w:val="008A219A"/>
    <w:rsid w:val="008A4E9B"/>
    <w:rsid w:val="008A7BC0"/>
    <w:rsid w:val="008B16B8"/>
    <w:rsid w:val="008C1CBF"/>
    <w:rsid w:val="008C3B7B"/>
    <w:rsid w:val="008C40C3"/>
    <w:rsid w:val="008D1FDF"/>
    <w:rsid w:val="008D5108"/>
    <w:rsid w:val="008E22F4"/>
    <w:rsid w:val="008E2AF7"/>
    <w:rsid w:val="008E3551"/>
    <w:rsid w:val="008E477E"/>
    <w:rsid w:val="008E6045"/>
    <w:rsid w:val="008F2507"/>
    <w:rsid w:val="008F3CB1"/>
    <w:rsid w:val="0090112A"/>
    <w:rsid w:val="00901797"/>
    <w:rsid w:val="009028FC"/>
    <w:rsid w:val="00903D09"/>
    <w:rsid w:val="00905AF1"/>
    <w:rsid w:val="0090601E"/>
    <w:rsid w:val="00906ECA"/>
    <w:rsid w:val="0090750B"/>
    <w:rsid w:val="00914C9E"/>
    <w:rsid w:val="00914E02"/>
    <w:rsid w:val="00921E9A"/>
    <w:rsid w:val="009239D6"/>
    <w:rsid w:val="00931CBE"/>
    <w:rsid w:val="00933ACA"/>
    <w:rsid w:val="00934C4D"/>
    <w:rsid w:val="00935FA0"/>
    <w:rsid w:val="00937652"/>
    <w:rsid w:val="00937E9A"/>
    <w:rsid w:val="00947FB2"/>
    <w:rsid w:val="00950B52"/>
    <w:rsid w:val="0095209B"/>
    <w:rsid w:val="00955866"/>
    <w:rsid w:val="00956A6F"/>
    <w:rsid w:val="0096213C"/>
    <w:rsid w:val="009625A6"/>
    <w:rsid w:val="00964A6F"/>
    <w:rsid w:val="00965F2D"/>
    <w:rsid w:val="00966500"/>
    <w:rsid w:val="009705DE"/>
    <w:rsid w:val="009707AA"/>
    <w:rsid w:val="0097186C"/>
    <w:rsid w:val="00971977"/>
    <w:rsid w:val="00977775"/>
    <w:rsid w:val="0098342E"/>
    <w:rsid w:val="00986C96"/>
    <w:rsid w:val="009875F5"/>
    <w:rsid w:val="0099151D"/>
    <w:rsid w:val="0099486D"/>
    <w:rsid w:val="00995588"/>
    <w:rsid w:val="00995B22"/>
    <w:rsid w:val="0099655C"/>
    <w:rsid w:val="009A27A0"/>
    <w:rsid w:val="009A3686"/>
    <w:rsid w:val="009A3A41"/>
    <w:rsid w:val="009A59A7"/>
    <w:rsid w:val="009B115C"/>
    <w:rsid w:val="009C130C"/>
    <w:rsid w:val="009C2AB9"/>
    <w:rsid w:val="009C469B"/>
    <w:rsid w:val="009C5EDC"/>
    <w:rsid w:val="009C7B78"/>
    <w:rsid w:val="009D0710"/>
    <w:rsid w:val="009D3D3A"/>
    <w:rsid w:val="009D5169"/>
    <w:rsid w:val="009E42B6"/>
    <w:rsid w:val="009E60D1"/>
    <w:rsid w:val="009F3634"/>
    <w:rsid w:val="009F424B"/>
    <w:rsid w:val="009F66FB"/>
    <w:rsid w:val="009F7945"/>
    <w:rsid w:val="00A01541"/>
    <w:rsid w:val="00A0484A"/>
    <w:rsid w:val="00A07C9F"/>
    <w:rsid w:val="00A122B9"/>
    <w:rsid w:val="00A12CFD"/>
    <w:rsid w:val="00A20822"/>
    <w:rsid w:val="00A26018"/>
    <w:rsid w:val="00A31026"/>
    <w:rsid w:val="00A32C7D"/>
    <w:rsid w:val="00A32EEE"/>
    <w:rsid w:val="00A34428"/>
    <w:rsid w:val="00A34B0E"/>
    <w:rsid w:val="00A36E92"/>
    <w:rsid w:val="00A42021"/>
    <w:rsid w:val="00A4286A"/>
    <w:rsid w:val="00A47E22"/>
    <w:rsid w:val="00A5186C"/>
    <w:rsid w:val="00A53370"/>
    <w:rsid w:val="00A572AE"/>
    <w:rsid w:val="00A573A1"/>
    <w:rsid w:val="00A722DD"/>
    <w:rsid w:val="00A7254F"/>
    <w:rsid w:val="00A76BE8"/>
    <w:rsid w:val="00A7720E"/>
    <w:rsid w:val="00A829C6"/>
    <w:rsid w:val="00A83EA1"/>
    <w:rsid w:val="00A85C68"/>
    <w:rsid w:val="00A86451"/>
    <w:rsid w:val="00A920E8"/>
    <w:rsid w:val="00A979D7"/>
    <w:rsid w:val="00AA1E13"/>
    <w:rsid w:val="00AA7181"/>
    <w:rsid w:val="00AB064B"/>
    <w:rsid w:val="00AB3C9F"/>
    <w:rsid w:val="00AB3CEC"/>
    <w:rsid w:val="00AB799F"/>
    <w:rsid w:val="00AB7B01"/>
    <w:rsid w:val="00AC1284"/>
    <w:rsid w:val="00AC2860"/>
    <w:rsid w:val="00AC49A3"/>
    <w:rsid w:val="00AC57BB"/>
    <w:rsid w:val="00AD473A"/>
    <w:rsid w:val="00AD4A3A"/>
    <w:rsid w:val="00AE00EC"/>
    <w:rsid w:val="00AE275F"/>
    <w:rsid w:val="00AE54CD"/>
    <w:rsid w:val="00AE5503"/>
    <w:rsid w:val="00AE6573"/>
    <w:rsid w:val="00AF0B90"/>
    <w:rsid w:val="00AF0F69"/>
    <w:rsid w:val="00AF178D"/>
    <w:rsid w:val="00AF5B39"/>
    <w:rsid w:val="00AF68C9"/>
    <w:rsid w:val="00AF6C0C"/>
    <w:rsid w:val="00B00057"/>
    <w:rsid w:val="00B07063"/>
    <w:rsid w:val="00B071A8"/>
    <w:rsid w:val="00B101F9"/>
    <w:rsid w:val="00B210F5"/>
    <w:rsid w:val="00B26BD2"/>
    <w:rsid w:val="00B27EC2"/>
    <w:rsid w:val="00B30CCB"/>
    <w:rsid w:val="00B310F1"/>
    <w:rsid w:val="00B3136A"/>
    <w:rsid w:val="00B3721D"/>
    <w:rsid w:val="00B404B3"/>
    <w:rsid w:val="00B412D6"/>
    <w:rsid w:val="00B4697A"/>
    <w:rsid w:val="00B61BB1"/>
    <w:rsid w:val="00B61F91"/>
    <w:rsid w:val="00B62DE4"/>
    <w:rsid w:val="00B62EF9"/>
    <w:rsid w:val="00B63D52"/>
    <w:rsid w:val="00B642DB"/>
    <w:rsid w:val="00B6581E"/>
    <w:rsid w:val="00B65CC9"/>
    <w:rsid w:val="00B676A8"/>
    <w:rsid w:val="00B75C5B"/>
    <w:rsid w:val="00B83E60"/>
    <w:rsid w:val="00B855FE"/>
    <w:rsid w:val="00B865D5"/>
    <w:rsid w:val="00B904C0"/>
    <w:rsid w:val="00B92702"/>
    <w:rsid w:val="00B96F67"/>
    <w:rsid w:val="00BA0BAF"/>
    <w:rsid w:val="00BA336C"/>
    <w:rsid w:val="00BA718B"/>
    <w:rsid w:val="00BB0392"/>
    <w:rsid w:val="00BB305A"/>
    <w:rsid w:val="00BB6BD2"/>
    <w:rsid w:val="00BC37B1"/>
    <w:rsid w:val="00BC3BDD"/>
    <w:rsid w:val="00BC51F9"/>
    <w:rsid w:val="00BD1F7F"/>
    <w:rsid w:val="00BD5317"/>
    <w:rsid w:val="00BD53D7"/>
    <w:rsid w:val="00BE49AC"/>
    <w:rsid w:val="00BE67C0"/>
    <w:rsid w:val="00BE7445"/>
    <w:rsid w:val="00BF0CD4"/>
    <w:rsid w:val="00BF364B"/>
    <w:rsid w:val="00BF59C7"/>
    <w:rsid w:val="00BF5B05"/>
    <w:rsid w:val="00C0247A"/>
    <w:rsid w:val="00C03513"/>
    <w:rsid w:val="00C05C1B"/>
    <w:rsid w:val="00C06A72"/>
    <w:rsid w:val="00C11A6C"/>
    <w:rsid w:val="00C16EE1"/>
    <w:rsid w:val="00C22DA3"/>
    <w:rsid w:val="00C31042"/>
    <w:rsid w:val="00C32EB4"/>
    <w:rsid w:val="00C41E92"/>
    <w:rsid w:val="00C424E3"/>
    <w:rsid w:val="00C44EAE"/>
    <w:rsid w:val="00C46F28"/>
    <w:rsid w:val="00C52E25"/>
    <w:rsid w:val="00C56397"/>
    <w:rsid w:val="00C61AE0"/>
    <w:rsid w:val="00C625BC"/>
    <w:rsid w:val="00C67A69"/>
    <w:rsid w:val="00C67D0D"/>
    <w:rsid w:val="00C70D30"/>
    <w:rsid w:val="00C72DBF"/>
    <w:rsid w:val="00C82B74"/>
    <w:rsid w:val="00C83D28"/>
    <w:rsid w:val="00C85264"/>
    <w:rsid w:val="00C943AD"/>
    <w:rsid w:val="00C94749"/>
    <w:rsid w:val="00C96837"/>
    <w:rsid w:val="00CA2785"/>
    <w:rsid w:val="00CA2FC1"/>
    <w:rsid w:val="00CA3407"/>
    <w:rsid w:val="00CA3476"/>
    <w:rsid w:val="00CA4050"/>
    <w:rsid w:val="00CA59FD"/>
    <w:rsid w:val="00CA6EA8"/>
    <w:rsid w:val="00CB3966"/>
    <w:rsid w:val="00CB3F71"/>
    <w:rsid w:val="00CB5A7B"/>
    <w:rsid w:val="00CB77E4"/>
    <w:rsid w:val="00CC405B"/>
    <w:rsid w:val="00CC754C"/>
    <w:rsid w:val="00CD47E8"/>
    <w:rsid w:val="00CD6EA0"/>
    <w:rsid w:val="00CE0364"/>
    <w:rsid w:val="00CE27BE"/>
    <w:rsid w:val="00CE6047"/>
    <w:rsid w:val="00CE65D9"/>
    <w:rsid w:val="00CE6B4C"/>
    <w:rsid w:val="00CF1750"/>
    <w:rsid w:val="00CF26AB"/>
    <w:rsid w:val="00CF2DD4"/>
    <w:rsid w:val="00CF4116"/>
    <w:rsid w:val="00CF5C4C"/>
    <w:rsid w:val="00CF6133"/>
    <w:rsid w:val="00CF6EBF"/>
    <w:rsid w:val="00CF7E3E"/>
    <w:rsid w:val="00D00574"/>
    <w:rsid w:val="00D016FA"/>
    <w:rsid w:val="00D02494"/>
    <w:rsid w:val="00D06817"/>
    <w:rsid w:val="00D15145"/>
    <w:rsid w:val="00D162A4"/>
    <w:rsid w:val="00D20BA2"/>
    <w:rsid w:val="00D21525"/>
    <w:rsid w:val="00D27A00"/>
    <w:rsid w:val="00D3093F"/>
    <w:rsid w:val="00D31025"/>
    <w:rsid w:val="00D31AED"/>
    <w:rsid w:val="00D32395"/>
    <w:rsid w:val="00D36F3B"/>
    <w:rsid w:val="00D435CC"/>
    <w:rsid w:val="00D46F8A"/>
    <w:rsid w:val="00D5207D"/>
    <w:rsid w:val="00D526E1"/>
    <w:rsid w:val="00D7663F"/>
    <w:rsid w:val="00D84559"/>
    <w:rsid w:val="00D85BBF"/>
    <w:rsid w:val="00D9093C"/>
    <w:rsid w:val="00DA0D5B"/>
    <w:rsid w:val="00DA319A"/>
    <w:rsid w:val="00DA4DF7"/>
    <w:rsid w:val="00DA5FEC"/>
    <w:rsid w:val="00DB01F6"/>
    <w:rsid w:val="00DB05E6"/>
    <w:rsid w:val="00DB06ED"/>
    <w:rsid w:val="00DB1442"/>
    <w:rsid w:val="00DB150D"/>
    <w:rsid w:val="00DB1613"/>
    <w:rsid w:val="00DB2950"/>
    <w:rsid w:val="00DB605D"/>
    <w:rsid w:val="00DC1267"/>
    <w:rsid w:val="00DC159D"/>
    <w:rsid w:val="00DC629A"/>
    <w:rsid w:val="00DD2CA7"/>
    <w:rsid w:val="00DD343C"/>
    <w:rsid w:val="00DE2810"/>
    <w:rsid w:val="00DE7E28"/>
    <w:rsid w:val="00DF11B1"/>
    <w:rsid w:val="00DF337D"/>
    <w:rsid w:val="00E018BD"/>
    <w:rsid w:val="00E02981"/>
    <w:rsid w:val="00E02995"/>
    <w:rsid w:val="00E02CE5"/>
    <w:rsid w:val="00E058BB"/>
    <w:rsid w:val="00E06988"/>
    <w:rsid w:val="00E07F4C"/>
    <w:rsid w:val="00E10CDE"/>
    <w:rsid w:val="00E179FF"/>
    <w:rsid w:val="00E17B01"/>
    <w:rsid w:val="00E17E3A"/>
    <w:rsid w:val="00E23625"/>
    <w:rsid w:val="00E236ED"/>
    <w:rsid w:val="00E24A50"/>
    <w:rsid w:val="00E308D1"/>
    <w:rsid w:val="00E33233"/>
    <w:rsid w:val="00E34B5B"/>
    <w:rsid w:val="00E367BD"/>
    <w:rsid w:val="00E418F7"/>
    <w:rsid w:val="00E41921"/>
    <w:rsid w:val="00E55104"/>
    <w:rsid w:val="00E566E4"/>
    <w:rsid w:val="00E57172"/>
    <w:rsid w:val="00E57A99"/>
    <w:rsid w:val="00E620E0"/>
    <w:rsid w:val="00E67074"/>
    <w:rsid w:val="00E728D3"/>
    <w:rsid w:val="00E737A4"/>
    <w:rsid w:val="00E759B4"/>
    <w:rsid w:val="00E77575"/>
    <w:rsid w:val="00E85656"/>
    <w:rsid w:val="00E86E51"/>
    <w:rsid w:val="00E948BA"/>
    <w:rsid w:val="00E94E96"/>
    <w:rsid w:val="00EA1FCE"/>
    <w:rsid w:val="00EA230F"/>
    <w:rsid w:val="00EA3B24"/>
    <w:rsid w:val="00EA3B3B"/>
    <w:rsid w:val="00EA7108"/>
    <w:rsid w:val="00EA71F2"/>
    <w:rsid w:val="00EC2FFA"/>
    <w:rsid w:val="00EC37C7"/>
    <w:rsid w:val="00EC4373"/>
    <w:rsid w:val="00ED1278"/>
    <w:rsid w:val="00ED310E"/>
    <w:rsid w:val="00ED38A9"/>
    <w:rsid w:val="00ED5591"/>
    <w:rsid w:val="00EE0929"/>
    <w:rsid w:val="00EE0F61"/>
    <w:rsid w:val="00EE6F48"/>
    <w:rsid w:val="00EE7649"/>
    <w:rsid w:val="00EE7962"/>
    <w:rsid w:val="00EF1E6B"/>
    <w:rsid w:val="00EF2032"/>
    <w:rsid w:val="00EF2CDD"/>
    <w:rsid w:val="00EF4A90"/>
    <w:rsid w:val="00EF7849"/>
    <w:rsid w:val="00F01DF4"/>
    <w:rsid w:val="00F036D8"/>
    <w:rsid w:val="00F10460"/>
    <w:rsid w:val="00F113A2"/>
    <w:rsid w:val="00F14D9D"/>
    <w:rsid w:val="00F21981"/>
    <w:rsid w:val="00F2277D"/>
    <w:rsid w:val="00F22B59"/>
    <w:rsid w:val="00F31BF7"/>
    <w:rsid w:val="00F32A38"/>
    <w:rsid w:val="00F32BA6"/>
    <w:rsid w:val="00F32F47"/>
    <w:rsid w:val="00F4445F"/>
    <w:rsid w:val="00F464F9"/>
    <w:rsid w:val="00F473A3"/>
    <w:rsid w:val="00F47DDC"/>
    <w:rsid w:val="00F50AE0"/>
    <w:rsid w:val="00F54CE9"/>
    <w:rsid w:val="00F603A3"/>
    <w:rsid w:val="00F6373C"/>
    <w:rsid w:val="00F731E8"/>
    <w:rsid w:val="00F7374B"/>
    <w:rsid w:val="00F73EBB"/>
    <w:rsid w:val="00F7640E"/>
    <w:rsid w:val="00F76CD4"/>
    <w:rsid w:val="00F76FE0"/>
    <w:rsid w:val="00F82A58"/>
    <w:rsid w:val="00F84703"/>
    <w:rsid w:val="00F85BA9"/>
    <w:rsid w:val="00F86C4E"/>
    <w:rsid w:val="00F90A68"/>
    <w:rsid w:val="00F93686"/>
    <w:rsid w:val="00F94734"/>
    <w:rsid w:val="00FA1BB3"/>
    <w:rsid w:val="00FA6BB0"/>
    <w:rsid w:val="00FA75CA"/>
    <w:rsid w:val="00FB0B6D"/>
    <w:rsid w:val="00FB5AA7"/>
    <w:rsid w:val="00FC429D"/>
    <w:rsid w:val="00FC630D"/>
    <w:rsid w:val="00FD74B3"/>
    <w:rsid w:val="00FD7A63"/>
    <w:rsid w:val="00FE6261"/>
    <w:rsid w:val="00FE67DA"/>
    <w:rsid w:val="00FF51BC"/>
    <w:rsid w:val="00FF5D95"/>
    <w:rsid w:val="00FF6761"/>
    <w:rsid w:val="01223559"/>
    <w:rsid w:val="01462235"/>
    <w:rsid w:val="01F60430"/>
    <w:rsid w:val="021D229B"/>
    <w:rsid w:val="02AD2186"/>
    <w:rsid w:val="02B25C3D"/>
    <w:rsid w:val="02C92162"/>
    <w:rsid w:val="02FA6EF2"/>
    <w:rsid w:val="02FF5E45"/>
    <w:rsid w:val="031C678A"/>
    <w:rsid w:val="0349745F"/>
    <w:rsid w:val="034D1CC8"/>
    <w:rsid w:val="039842CF"/>
    <w:rsid w:val="039B0D7D"/>
    <w:rsid w:val="03D567D9"/>
    <w:rsid w:val="03E2006E"/>
    <w:rsid w:val="03F363F6"/>
    <w:rsid w:val="045C354F"/>
    <w:rsid w:val="047E5D41"/>
    <w:rsid w:val="04842AA6"/>
    <w:rsid w:val="04846DD5"/>
    <w:rsid w:val="04B8641E"/>
    <w:rsid w:val="04CA3B18"/>
    <w:rsid w:val="052778F4"/>
    <w:rsid w:val="052F1387"/>
    <w:rsid w:val="05500BDA"/>
    <w:rsid w:val="05DB04A3"/>
    <w:rsid w:val="0604347C"/>
    <w:rsid w:val="062A0934"/>
    <w:rsid w:val="070F4658"/>
    <w:rsid w:val="078D3AFD"/>
    <w:rsid w:val="07E2057E"/>
    <w:rsid w:val="08042ADE"/>
    <w:rsid w:val="087F780C"/>
    <w:rsid w:val="088D64EC"/>
    <w:rsid w:val="08BA4CE8"/>
    <w:rsid w:val="090430D9"/>
    <w:rsid w:val="095344A8"/>
    <w:rsid w:val="095B73E3"/>
    <w:rsid w:val="09721F8E"/>
    <w:rsid w:val="09B47989"/>
    <w:rsid w:val="0A1C108A"/>
    <w:rsid w:val="0A4B1E4A"/>
    <w:rsid w:val="0A534AFF"/>
    <w:rsid w:val="0AE20B0A"/>
    <w:rsid w:val="0B537169"/>
    <w:rsid w:val="0B723658"/>
    <w:rsid w:val="0B9250CB"/>
    <w:rsid w:val="0BC83862"/>
    <w:rsid w:val="0C2B1433"/>
    <w:rsid w:val="0C2B6E7C"/>
    <w:rsid w:val="0C442AE4"/>
    <w:rsid w:val="0C4C1587"/>
    <w:rsid w:val="0C6C7336"/>
    <w:rsid w:val="0CF11F02"/>
    <w:rsid w:val="0CFF300B"/>
    <w:rsid w:val="0D037D85"/>
    <w:rsid w:val="0D451801"/>
    <w:rsid w:val="0D606B2F"/>
    <w:rsid w:val="0DA07183"/>
    <w:rsid w:val="0DA87805"/>
    <w:rsid w:val="0DCD5ABB"/>
    <w:rsid w:val="0DD77462"/>
    <w:rsid w:val="0DFF6A61"/>
    <w:rsid w:val="0E144079"/>
    <w:rsid w:val="0E1D25FC"/>
    <w:rsid w:val="0E2A7D0D"/>
    <w:rsid w:val="0E840700"/>
    <w:rsid w:val="0E9E7E22"/>
    <w:rsid w:val="0ED35847"/>
    <w:rsid w:val="0F042B52"/>
    <w:rsid w:val="0FD06ACB"/>
    <w:rsid w:val="0FFF2388"/>
    <w:rsid w:val="10451C50"/>
    <w:rsid w:val="10464669"/>
    <w:rsid w:val="10772D2F"/>
    <w:rsid w:val="10A2076A"/>
    <w:rsid w:val="10AC13BA"/>
    <w:rsid w:val="10AF1A20"/>
    <w:rsid w:val="111227A8"/>
    <w:rsid w:val="111B02EE"/>
    <w:rsid w:val="111B1D26"/>
    <w:rsid w:val="11606A2D"/>
    <w:rsid w:val="119E2955"/>
    <w:rsid w:val="11AE540E"/>
    <w:rsid w:val="11BA3663"/>
    <w:rsid w:val="11E2071C"/>
    <w:rsid w:val="121B53C5"/>
    <w:rsid w:val="122F3B48"/>
    <w:rsid w:val="12473DB3"/>
    <w:rsid w:val="125D1EF2"/>
    <w:rsid w:val="12722EA2"/>
    <w:rsid w:val="12BF30B1"/>
    <w:rsid w:val="12CE5D17"/>
    <w:rsid w:val="12D4449D"/>
    <w:rsid w:val="13147980"/>
    <w:rsid w:val="134A6C68"/>
    <w:rsid w:val="134C0C32"/>
    <w:rsid w:val="13655850"/>
    <w:rsid w:val="13BC3A75"/>
    <w:rsid w:val="14BD5114"/>
    <w:rsid w:val="14DF5D99"/>
    <w:rsid w:val="15085D61"/>
    <w:rsid w:val="15254197"/>
    <w:rsid w:val="154E3E6E"/>
    <w:rsid w:val="1579022B"/>
    <w:rsid w:val="15901D10"/>
    <w:rsid w:val="15A449D3"/>
    <w:rsid w:val="160C6494"/>
    <w:rsid w:val="16921052"/>
    <w:rsid w:val="169567F0"/>
    <w:rsid w:val="171B42F2"/>
    <w:rsid w:val="17306EA1"/>
    <w:rsid w:val="173E6C25"/>
    <w:rsid w:val="17856CA7"/>
    <w:rsid w:val="17A75B29"/>
    <w:rsid w:val="180513B0"/>
    <w:rsid w:val="18134C99"/>
    <w:rsid w:val="18434019"/>
    <w:rsid w:val="18542BF6"/>
    <w:rsid w:val="185714FE"/>
    <w:rsid w:val="18687698"/>
    <w:rsid w:val="188B3EC6"/>
    <w:rsid w:val="18AB6E88"/>
    <w:rsid w:val="19016AF0"/>
    <w:rsid w:val="19035F1E"/>
    <w:rsid w:val="1924255C"/>
    <w:rsid w:val="19DA53FD"/>
    <w:rsid w:val="19E11D95"/>
    <w:rsid w:val="1A1354BF"/>
    <w:rsid w:val="1A166D8D"/>
    <w:rsid w:val="1A1A19D2"/>
    <w:rsid w:val="1A7B3BAB"/>
    <w:rsid w:val="1B016171"/>
    <w:rsid w:val="1B2279AD"/>
    <w:rsid w:val="1B724FAE"/>
    <w:rsid w:val="1BC86E01"/>
    <w:rsid w:val="1C01766B"/>
    <w:rsid w:val="1C3926AD"/>
    <w:rsid w:val="1C531AB9"/>
    <w:rsid w:val="1C5B5210"/>
    <w:rsid w:val="1C940F54"/>
    <w:rsid w:val="1C996FE2"/>
    <w:rsid w:val="1D2D5615"/>
    <w:rsid w:val="1D7946FD"/>
    <w:rsid w:val="1DE74786"/>
    <w:rsid w:val="1DEA7E9E"/>
    <w:rsid w:val="1DEE4026"/>
    <w:rsid w:val="1E210611"/>
    <w:rsid w:val="1E361C38"/>
    <w:rsid w:val="1EA27958"/>
    <w:rsid w:val="1EAA2CB1"/>
    <w:rsid w:val="1ECF4EF5"/>
    <w:rsid w:val="1ED649B9"/>
    <w:rsid w:val="1F0C571A"/>
    <w:rsid w:val="1F1D16D5"/>
    <w:rsid w:val="1F2573EA"/>
    <w:rsid w:val="1F4D284C"/>
    <w:rsid w:val="1F501AAA"/>
    <w:rsid w:val="1FAE25F1"/>
    <w:rsid w:val="1FB060A0"/>
    <w:rsid w:val="1FE2463C"/>
    <w:rsid w:val="201E676B"/>
    <w:rsid w:val="20324395"/>
    <w:rsid w:val="20FC63AD"/>
    <w:rsid w:val="20FC6855"/>
    <w:rsid w:val="21380790"/>
    <w:rsid w:val="217113DA"/>
    <w:rsid w:val="21844BB5"/>
    <w:rsid w:val="21977500"/>
    <w:rsid w:val="21A67B84"/>
    <w:rsid w:val="21FA6DF4"/>
    <w:rsid w:val="21FC7871"/>
    <w:rsid w:val="2210130D"/>
    <w:rsid w:val="22950817"/>
    <w:rsid w:val="22B8599C"/>
    <w:rsid w:val="22BD491D"/>
    <w:rsid w:val="22C84412"/>
    <w:rsid w:val="233562BF"/>
    <w:rsid w:val="23384D2F"/>
    <w:rsid w:val="23464DE4"/>
    <w:rsid w:val="23711335"/>
    <w:rsid w:val="237E56C3"/>
    <w:rsid w:val="24030E16"/>
    <w:rsid w:val="244A678E"/>
    <w:rsid w:val="24940192"/>
    <w:rsid w:val="249825F1"/>
    <w:rsid w:val="24992D0D"/>
    <w:rsid w:val="24AC023E"/>
    <w:rsid w:val="24CF5954"/>
    <w:rsid w:val="24F64DA5"/>
    <w:rsid w:val="25C14F7B"/>
    <w:rsid w:val="26013B1B"/>
    <w:rsid w:val="261920E3"/>
    <w:rsid w:val="261E1534"/>
    <w:rsid w:val="26B17905"/>
    <w:rsid w:val="26B97F35"/>
    <w:rsid w:val="26D24169"/>
    <w:rsid w:val="27174C5C"/>
    <w:rsid w:val="273067C9"/>
    <w:rsid w:val="2741210B"/>
    <w:rsid w:val="27660DD0"/>
    <w:rsid w:val="276A7481"/>
    <w:rsid w:val="277551B2"/>
    <w:rsid w:val="279173E5"/>
    <w:rsid w:val="27F73F78"/>
    <w:rsid w:val="281C0984"/>
    <w:rsid w:val="28744BDA"/>
    <w:rsid w:val="2893480E"/>
    <w:rsid w:val="29223335"/>
    <w:rsid w:val="298F67ED"/>
    <w:rsid w:val="29B03871"/>
    <w:rsid w:val="29E85DEA"/>
    <w:rsid w:val="2A56543D"/>
    <w:rsid w:val="2A737E44"/>
    <w:rsid w:val="2ABB7B25"/>
    <w:rsid w:val="2B547350"/>
    <w:rsid w:val="2B7D771F"/>
    <w:rsid w:val="2C195BCB"/>
    <w:rsid w:val="2C2A7D12"/>
    <w:rsid w:val="2CAD701C"/>
    <w:rsid w:val="2CD33817"/>
    <w:rsid w:val="2D095824"/>
    <w:rsid w:val="2D5672B1"/>
    <w:rsid w:val="2DC51013"/>
    <w:rsid w:val="2DCF44E2"/>
    <w:rsid w:val="2DDE2EA9"/>
    <w:rsid w:val="2E47648F"/>
    <w:rsid w:val="2E565B2A"/>
    <w:rsid w:val="2E6812E3"/>
    <w:rsid w:val="2E7C4629"/>
    <w:rsid w:val="2EC64B5C"/>
    <w:rsid w:val="2ED400C3"/>
    <w:rsid w:val="2F9000D8"/>
    <w:rsid w:val="2FBB4D1E"/>
    <w:rsid w:val="2FDA2B8D"/>
    <w:rsid w:val="303F591A"/>
    <w:rsid w:val="3047087F"/>
    <w:rsid w:val="30684342"/>
    <w:rsid w:val="307318E5"/>
    <w:rsid w:val="307F00FF"/>
    <w:rsid w:val="3093267C"/>
    <w:rsid w:val="30D52967"/>
    <w:rsid w:val="30F6610E"/>
    <w:rsid w:val="30F7475C"/>
    <w:rsid w:val="310D5422"/>
    <w:rsid w:val="3142692F"/>
    <w:rsid w:val="31541DBA"/>
    <w:rsid w:val="31561180"/>
    <w:rsid w:val="315B627C"/>
    <w:rsid w:val="316A449E"/>
    <w:rsid w:val="31AE1FC7"/>
    <w:rsid w:val="31D22BF9"/>
    <w:rsid w:val="323F180D"/>
    <w:rsid w:val="329C4ED3"/>
    <w:rsid w:val="32E65787"/>
    <w:rsid w:val="32F100BD"/>
    <w:rsid w:val="33184235"/>
    <w:rsid w:val="336F02F9"/>
    <w:rsid w:val="33894BCA"/>
    <w:rsid w:val="33B72A4E"/>
    <w:rsid w:val="341A21EB"/>
    <w:rsid w:val="34515C51"/>
    <w:rsid w:val="34747AA0"/>
    <w:rsid w:val="348807AF"/>
    <w:rsid w:val="34BD32E6"/>
    <w:rsid w:val="34F16D04"/>
    <w:rsid w:val="351225C8"/>
    <w:rsid w:val="35335A0B"/>
    <w:rsid w:val="356674DA"/>
    <w:rsid w:val="35DE09C9"/>
    <w:rsid w:val="36483084"/>
    <w:rsid w:val="366B04D8"/>
    <w:rsid w:val="36B10C29"/>
    <w:rsid w:val="37425D25"/>
    <w:rsid w:val="376408CA"/>
    <w:rsid w:val="37774228"/>
    <w:rsid w:val="37AE3A93"/>
    <w:rsid w:val="382B5A14"/>
    <w:rsid w:val="382D4AFA"/>
    <w:rsid w:val="386332C5"/>
    <w:rsid w:val="387B0309"/>
    <w:rsid w:val="38A62FFD"/>
    <w:rsid w:val="39162FC5"/>
    <w:rsid w:val="3946701A"/>
    <w:rsid w:val="3951617D"/>
    <w:rsid w:val="3965233F"/>
    <w:rsid w:val="397A17A6"/>
    <w:rsid w:val="398805E1"/>
    <w:rsid w:val="399D78C9"/>
    <w:rsid w:val="39B822CE"/>
    <w:rsid w:val="3A0948D8"/>
    <w:rsid w:val="3A0D7603"/>
    <w:rsid w:val="3A3A2CE3"/>
    <w:rsid w:val="3A40479E"/>
    <w:rsid w:val="3A5B2F18"/>
    <w:rsid w:val="3A7206CF"/>
    <w:rsid w:val="3A8C3FB2"/>
    <w:rsid w:val="3AE01BB1"/>
    <w:rsid w:val="3B111C96"/>
    <w:rsid w:val="3B30272B"/>
    <w:rsid w:val="3B5D3537"/>
    <w:rsid w:val="3B5E12EE"/>
    <w:rsid w:val="3B6A3D00"/>
    <w:rsid w:val="3B6B0611"/>
    <w:rsid w:val="3B8C5F20"/>
    <w:rsid w:val="3B94244F"/>
    <w:rsid w:val="3C23409E"/>
    <w:rsid w:val="3C4B2A92"/>
    <w:rsid w:val="3C8446EA"/>
    <w:rsid w:val="3C907271"/>
    <w:rsid w:val="3CCB2319"/>
    <w:rsid w:val="3DC43669"/>
    <w:rsid w:val="3DD95EA7"/>
    <w:rsid w:val="3E1201FF"/>
    <w:rsid w:val="3E3F2623"/>
    <w:rsid w:val="3ED63CC3"/>
    <w:rsid w:val="3ED74FA5"/>
    <w:rsid w:val="3EEA24C6"/>
    <w:rsid w:val="3F5B28AF"/>
    <w:rsid w:val="40766BEC"/>
    <w:rsid w:val="409444EC"/>
    <w:rsid w:val="40BF72D0"/>
    <w:rsid w:val="40D6429F"/>
    <w:rsid w:val="415A7EE6"/>
    <w:rsid w:val="415B3921"/>
    <w:rsid w:val="41761CA7"/>
    <w:rsid w:val="41952DE5"/>
    <w:rsid w:val="41B07342"/>
    <w:rsid w:val="421B005B"/>
    <w:rsid w:val="422A4671"/>
    <w:rsid w:val="423A7B79"/>
    <w:rsid w:val="42546C78"/>
    <w:rsid w:val="42C767AD"/>
    <w:rsid w:val="43041BFB"/>
    <w:rsid w:val="433B331D"/>
    <w:rsid w:val="43C41AA5"/>
    <w:rsid w:val="4401219E"/>
    <w:rsid w:val="44036F11"/>
    <w:rsid w:val="443324D8"/>
    <w:rsid w:val="4442446E"/>
    <w:rsid w:val="44477A39"/>
    <w:rsid w:val="445242F6"/>
    <w:rsid w:val="448462B0"/>
    <w:rsid w:val="44A57C2A"/>
    <w:rsid w:val="44BA514C"/>
    <w:rsid w:val="44DF070A"/>
    <w:rsid w:val="452847AC"/>
    <w:rsid w:val="45423E2F"/>
    <w:rsid w:val="454B049A"/>
    <w:rsid w:val="456D4695"/>
    <w:rsid w:val="45C51EAA"/>
    <w:rsid w:val="45FA7D68"/>
    <w:rsid w:val="45FB5F58"/>
    <w:rsid w:val="4601706A"/>
    <w:rsid w:val="468B15BF"/>
    <w:rsid w:val="46E25ADA"/>
    <w:rsid w:val="46FF778E"/>
    <w:rsid w:val="47592AC8"/>
    <w:rsid w:val="47C022EA"/>
    <w:rsid w:val="4899611A"/>
    <w:rsid w:val="48BD23D3"/>
    <w:rsid w:val="48CA205A"/>
    <w:rsid w:val="49467CAC"/>
    <w:rsid w:val="49DC3ED6"/>
    <w:rsid w:val="49EB7B56"/>
    <w:rsid w:val="49F43B22"/>
    <w:rsid w:val="49F4637B"/>
    <w:rsid w:val="49F802CC"/>
    <w:rsid w:val="4A2117CA"/>
    <w:rsid w:val="4A83274D"/>
    <w:rsid w:val="4AA85A47"/>
    <w:rsid w:val="4ABD70AF"/>
    <w:rsid w:val="4AD11442"/>
    <w:rsid w:val="4AF0069C"/>
    <w:rsid w:val="4B6B71A0"/>
    <w:rsid w:val="4C170202"/>
    <w:rsid w:val="4C5D160E"/>
    <w:rsid w:val="4CC27294"/>
    <w:rsid w:val="4CD545C9"/>
    <w:rsid w:val="4D266AF1"/>
    <w:rsid w:val="4D3E079F"/>
    <w:rsid w:val="4D535BB7"/>
    <w:rsid w:val="4D8018F1"/>
    <w:rsid w:val="4D924EB8"/>
    <w:rsid w:val="4DAA338D"/>
    <w:rsid w:val="4DB43481"/>
    <w:rsid w:val="4DFA7D9E"/>
    <w:rsid w:val="4EB64BD7"/>
    <w:rsid w:val="4ECF25E0"/>
    <w:rsid w:val="4EEB7CA9"/>
    <w:rsid w:val="4F684387"/>
    <w:rsid w:val="4FEB01C7"/>
    <w:rsid w:val="500A342C"/>
    <w:rsid w:val="50106568"/>
    <w:rsid w:val="50324731"/>
    <w:rsid w:val="507C775A"/>
    <w:rsid w:val="510065DD"/>
    <w:rsid w:val="512B7CD4"/>
    <w:rsid w:val="514905B5"/>
    <w:rsid w:val="51853F75"/>
    <w:rsid w:val="518B020A"/>
    <w:rsid w:val="51C42211"/>
    <w:rsid w:val="51D341D6"/>
    <w:rsid w:val="51D743B8"/>
    <w:rsid w:val="522A757C"/>
    <w:rsid w:val="52650ECC"/>
    <w:rsid w:val="52724AB1"/>
    <w:rsid w:val="52925986"/>
    <w:rsid w:val="535A53CF"/>
    <w:rsid w:val="5360246E"/>
    <w:rsid w:val="538C4FF4"/>
    <w:rsid w:val="538D3CAA"/>
    <w:rsid w:val="53AC4C18"/>
    <w:rsid w:val="53D25467"/>
    <w:rsid w:val="545C0256"/>
    <w:rsid w:val="54A92AE8"/>
    <w:rsid w:val="54F70673"/>
    <w:rsid w:val="553D1BAE"/>
    <w:rsid w:val="55BC2D3B"/>
    <w:rsid w:val="55D65B5E"/>
    <w:rsid w:val="55D71E8C"/>
    <w:rsid w:val="56580702"/>
    <w:rsid w:val="568E6439"/>
    <w:rsid w:val="56C65BD3"/>
    <w:rsid w:val="56F85B30"/>
    <w:rsid w:val="570F2729"/>
    <w:rsid w:val="573B31D8"/>
    <w:rsid w:val="573C7BEA"/>
    <w:rsid w:val="57AA6DDA"/>
    <w:rsid w:val="57D9143D"/>
    <w:rsid w:val="584642EB"/>
    <w:rsid w:val="5872170E"/>
    <w:rsid w:val="58B855F4"/>
    <w:rsid w:val="58C33A6C"/>
    <w:rsid w:val="58D30969"/>
    <w:rsid w:val="58D86810"/>
    <w:rsid w:val="58E169DF"/>
    <w:rsid w:val="59382F53"/>
    <w:rsid w:val="59573775"/>
    <w:rsid w:val="596E05AA"/>
    <w:rsid w:val="597F3659"/>
    <w:rsid w:val="59927FEE"/>
    <w:rsid w:val="59B66E68"/>
    <w:rsid w:val="5A05201A"/>
    <w:rsid w:val="5A0838EA"/>
    <w:rsid w:val="5A096502"/>
    <w:rsid w:val="5A3B68D8"/>
    <w:rsid w:val="5A6B3970"/>
    <w:rsid w:val="5AA3501C"/>
    <w:rsid w:val="5AB165B1"/>
    <w:rsid w:val="5ADE5150"/>
    <w:rsid w:val="5AE85F5F"/>
    <w:rsid w:val="5B0B44FC"/>
    <w:rsid w:val="5B866785"/>
    <w:rsid w:val="5BC07012"/>
    <w:rsid w:val="5BD7618C"/>
    <w:rsid w:val="5C677ECC"/>
    <w:rsid w:val="5D5A6757"/>
    <w:rsid w:val="5DCD2ABA"/>
    <w:rsid w:val="5EA7685B"/>
    <w:rsid w:val="5F445DE8"/>
    <w:rsid w:val="5FCA04E2"/>
    <w:rsid w:val="5FE80968"/>
    <w:rsid w:val="601A1818"/>
    <w:rsid w:val="606B4658"/>
    <w:rsid w:val="607D5554"/>
    <w:rsid w:val="60D42C45"/>
    <w:rsid w:val="60D57568"/>
    <w:rsid w:val="6129748A"/>
    <w:rsid w:val="616D6DFA"/>
    <w:rsid w:val="617A3172"/>
    <w:rsid w:val="61BA4586"/>
    <w:rsid w:val="62B857F3"/>
    <w:rsid w:val="62F7085A"/>
    <w:rsid w:val="62F94650"/>
    <w:rsid w:val="62FD1DA2"/>
    <w:rsid w:val="63383589"/>
    <w:rsid w:val="63412AAC"/>
    <w:rsid w:val="63AD5074"/>
    <w:rsid w:val="640306F3"/>
    <w:rsid w:val="64493987"/>
    <w:rsid w:val="649675DA"/>
    <w:rsid w:val="64B96A68"/>
    <w:rsid w:val="64C13FD4"/>
    <w:rsid w:val="652137D3"/>
    <w:rsid w:val="65A92B06"/>
    <w:rsid w:val="65E73470"/>
    <w:rsid w:val="66A31F4D"/>
    <w:rsid w:val="66AD03D7"/>
    <w:rsid w:val="66B62A97"/>
    <w:rsid w:val="66C5682B"/>
    <w:rsid w:val="67063403"/>
    <w:rsid w:val="672256C2"/>
    <w:rsid w:val="67267484"/>
    <w:rsid w:val="67395F4D"/>
    <w:rsid w:val="673D0876"/>
    <w:rsid w:val="6760140E"/>
    <w:rsid w:val="676D4DFE"/>
    <w:rsid w:val="67BB791E"/>
    <w:rsid w:val="67D06633"/>
    <w:rsid w:val="680C64B8"/>
    <w:rsid w:val="6813581D"/>
    <w:rsid w:val="68246BFD"/>
    <w:rsid w:val="68251524"/>
    <w:rsid w:val="682E5386"/>
    <w:rsid w:val="688651C2"/>
    <w:rsid w:val="68AB6EB0"/>
    <w:rsid w:val="68AE414D"/>
    <w:rsid w:val="690A5DF3"/>
    <w:rsid w:val="691B6793"/>
    <w:rsid w:val="695B1CE7"/>
    <w:rsid w:val="6980615C"/>
    <w:rsid w:val="6A0C061B"/>
    <w:rsid w:val="6A0F5175"/>
    <w:rsid w:val="6A211CE5"/>
    <w:rsid w:val="6AC33B8D"/>
    <w:rsid w:val="6ADF6E0B"/>
    <w:rsid w:val="6B235906"/>
    <w:rsid w:val="6B6E6157"/>
    <w:rsid w:val="6BE8703F"/>
    <w:rsid w:val="6BF23936"/>
    <w:rsid w:val="6C582A3C"/>
    <w:rsid w:val="6C9B1B05"/>
    <w:rsid w:val="6CA44912"/>
    <w:rsid w:val="6CB32F5C"/>
    <w:rsid w:val="6CBF4278"/>
    <w:rsid w:val="6CC43F5E"/>
    <w:rsid w:val="6CDE55CC"/>
    <w:rsid w:val="6CF525C8"/>
    <w:rsid w:val="6D0B213A"/>
    <w:rsid w:val="6D3C0581"/>
    <w:rsid w:val="6D4D33D8"/>
    <w:rsid w:val="6D5F080C"/>
    <w:rsid w:val="6D763C20"/>
    <w:rsid w:val="6D77372B"/>
    <w:rsid w:val="6E057DB2"/>
    <w:rsid w:val="6E8408DA"/>
    <w:rsid w:val="6EA079C0"/>
    <w:rsid w:val="6EBE032E"/>
    <w:rsid w:val="6EFB5A89"/>
    <w:rsid w:val="6F073CD2"/>
    <w:rsid w:val="6F184CB4"/>
    <w:rsid w:val="6F4B1FB9"/>
    <w:rsid w:val="6F5D349D"/>
    <w:rsid w:val="6F9C0D1A"/>
    <w:rsid w:val="6FB31727"/>
    <w:rsid w:val="6FCD2D4F"/>
    <w:rsid w:val="6FDC4815"/>
    <w:rsid w:val="6FEC1A9E"/>
    <w:rsid w:val="6FF677BA"/>
    <w:rsid w:val="704A2F79"/>
    <w:rsid w:val="705967D3"/>
    <w:rsid w:val="70641B61"/>
    <w:rsid w:val="7088492D"/>
    <w:rsid w:val="71253A25"/>
    <w:rsid w:val="713B2A1B"/>
    <w:rsid w:val="715E0962"/>
    <w:rsid w:val="71794B59"/>
    <w:rsid w:val="71855AEF"/>
    <w:rsid w:val="719D47F2"/>
    <w:rsid w:val="71E02949"/>
    <w:rsid w:val="723E0A6C"/>
    <w:rsid w:val="723E572B"/>
    <w:rsid w:val="729329B5"/>
    <w:rsid w:val="72D44160"/>
    <w:rsid w:val="730168D6"/>
    <w:rsid w:val="73867DE4"/>
    <w:rsid w:val="73C86673"/>
    <w:rsid w:val="749679D6"/>
    <w:rsid w:val="74CD402D"/>
    <w:rsid w:val="74E21577"/>
    <w:rsid w:val="74E50DAE"/>
    <w:rsid w:val="74EE435D"/>
    <w:rsid w:val="750F227C"/>
    <w:rsid w:val="75181BDD"/>
    <w:rsid w:val="75322959"/>
    <w:rsid w:val="755D6886"/>
    <w:rsid w:val="75853003"/>
    <w:rsid w:val="75A66F64"/>
    <w:rsid w:val="75D43A11"/>
    <w:rsid w:val="75FF68E7"/>
    <w:rsid w:val="76504DA4"/>
    <w:rsid w:val="765336FE"/>
    <w:rsid w:val="76964A01"/>
    <w:rsid w:val="76B34C0F"/>
    <w:rsid w:val="76F25221"/>
    <w:rsid w:val="770C6B71"/>
    <w:rsid w:val="771A18F7"/>
    <w:rsid w:val="77221320"/>
    <w:rsid w:val="77304C77"/>
    <w:rsid w:val="77495AB7"/>
    <w:rsid w:val="77AC6BAC"/>
    <w:rsid w:val="77BB1629"/>
    <w:rsid w:val="78014865"/>
    <w:rsid w:val="78197E01"/>
    <w:rsid w:val="78272F4E"/>
    <w:rsid w:val="78A06277"/>
    <w:rsid w:val="78E636B9"/>
    <w:rsid w:val="78F13F3B"/>
    <w:rsid w:val="78FE0FC6"/>
    <w:rsid w:val="7A35049E"/>
    <w:rsid w:val="7A5B7B16"/>
    <w:rsid w:val="7AAC0AB8"/>
    <w:rsid w:val="7AB64072"/>
    <w:rsid w:val="7AF81C4F"/>
    <w:rsid w:val="7B05200B"/>
    <w:rsid w:val="7B181CD7"/>
    <w:rsid w:val="7B2335C6"/>
    <w:rsid w:val="7B503065"/>
    <w:rsid w:val="7B79797E"/>
    <w:rsid w:val="7C1A4147"/>
    <w:rsid w:val="7C405474"/>
    <w:rsid w:val="7C6C17B0"/>
    <w:rsid w:val="7C6E6004"/>
    <w:rsid w:val="7C80494F"/>
    <w:rsid w:val="7CB918AF"/>
    <w:rsid w:val="7CF107D5"/>
    <w:rsid w:val="7D4639B2"/>
    <w:rsid w:val="7D4F3293"/>
    <w:rsid w:val="7D6E41A0"/>
    <w:rsid w:val="7D782ED3"/>
    <w:rsid w:val="7DA16201"/>
    <w:rsid w:val="7DA41F1A"/>
    <w:rsid w:val="7E0C6A36"/>
    <w:rsid w:val="7E8104AE"/>
    <w:rsid w:val="7F042C4B"/>
    <w:rsid w:val="7F166E48"/>
    <w:rsid w:val="7F3B68AE"/>
    <w:rsid w:val="7F517EBE"/>
    <w:rsid w:val="7F5E434B"/>
    <w:rsid w:val="7F761695"/>
    <w:rsid w:val="7FBF3B8C"/>
    <w:rsid w:val="7FC20D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semiHidden="0" w:name="heading 3" w:locked="1"/>
    <w:lsdException w:qFormat="1" w:uiPriority="0" w:name="heading 4" w:locked="1"/>
    <w:lsdException w:qFormat="1" w:uiPriority="0" w:name="heading 5" w:locked="1"/>
    <w:lsdException w:qFormat="1" w:unhideWhenUsed="0" w:uiPriority="99" w:semiHidden="0" w:name="heading 6"/>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40" w:lineRule="exact"/>
      <w:ind w:firstLine="641"/>
      <w:jc w:val="both"/>
    </w:pPr>
    <w:rPr>
      <w:rFonts w:ascii="Times New Roman" w:hAnsi="Times New Roman" w:eastAsia="仿宋_GB2312" w:cs="Times New Roman"/>
      <w:kern w:val="2"/>
      <w:sz w:val="32"/>
      <w:szCs w:val="22"/>
      <w:lang w:val="en-US" w:eastAsia="zh-CN" w:bidi="ar-SA"/>
    </w:rPr>
  </w:style>
  <w:style w:type="paragraph" w:styleId="3">
    <w:name w:val="heading 2"/>
    <w:basedOn w:val="1"/>
    <w:next w:val="1"/>
    <w:link w:val="16"/>
    <w:qFormat/>
    <w:uiPriority w:val="99"/>
    <w:pPr>
      <w:widowControl/>
      <w:spacing w:before="200" w:line="271" w:lineRule="auto"/>
      <w:jc w:val="left"/>
      <w:outlineLvl w:val="1"/>
    </w:pPr>
    <w:rPr>
      <w:rFonts w:ascii="Cambria" w:hAnsi="Cambria"/>
      <w:smallCaps/>
      <w:kern w:val="0"/>
      <w:sz w:val="28"/>
      <w:szCs w:val="28"/>
      <w:lang w:eastAsia="en-US"/>
    </w:rPr>
  </w:style>
  <w:style w:type="paragraph" w:styleId="2">
    <w:name w:val="heading 3"/>
    <w:basedOn w:val="1"/>
    <w:next w:val="1"/>
    <w:link w:val="28"/>
    <w:unhideWhenUsed/>
    <w:qFormat/>
    <w:locked/>
    <w:uiPriority w:val="0"/>
    <w:pPr>
      <w:keepNext/>
      <w:keepLines/>
      <w:spacing w:before="260" w:after="260" w:line="416" w:lineRule="atLeast"/>
      <w:outlineLvl w:val="2"/>
    </w:pPr>
    <w:rPr>
      <w:b/>
      <w:bCs/>
      <w:szCs w:val="32"/>
    </w:rPr>
  </w:style>
  <w:style w:type="paragraph" w:styleId="4">
    <w:name w:val="heading 6"/>
    <w:basedOn w:val="1"/>
    <w:next w:val="1"/>
    <w:link w:val="17"/>
    <w:qFormat/>
    <w:uiPriority w:val="99"/>
    <w:pPr>
      <w:keepNext/>
      <w:keepLines/>
      <w:spacing w:before="240" w:after="64" w:line="320" w:lineRule="auto"/>
      <w:outlineLvl w:val="5"/>
    </w:pPr>
    <w:rPr>
      <w:rFonts w:ascii="Cambria" w:hAnsi="Cambria"/>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alloon Text"/>
    <w:basedOn w:val="1"/>
    <w:link w:val="27"/>
    <w:semiHidden/>
    <w:unhideWhenUsed/>
    <w:qFormat/>
    <w:uiPriority w:val="99"/>
    <w:pPr>
      <w:spacing w:line="240" w:lineRule="auto"/>
    </w:pPr>
    <w:rPr>
      <w:sz w:val="18"/>
      <w:szCs w:val="18"/>
    </w:rPr>
  </w:style>
  <w:style w:type="paragraph" w:styleId="7">
    <w:name w:val="footer"/>
    <w:basedOn w:val="1"/>
    <w:link w:val="26"/>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9">
    <w:name w:val="Subtitle"/>
    <w:basedOn w:val="1"/>
    <w:next w:val="1"/>
    <w:link w:val="29"/>
    <w:qFormat/>
    <w:locked/>
    <w:uiPriority w:val="0"/>
    <w:pPr>
      <w:spacing w:before="240" w:after="60" w:line="312" w:lineRule="auto"/>
      <w:jc w:val="center"/>
      <w:outlineLvl w:val="1"/>
    </w:pPr>
    <w:rPr>
      <w:rFonts w:ascii="Cambria" w:hAnsi="Cambria"/>
      <w:b/>
      <w:bCs/>
      <w:kern w:val="28"/>
      <w:szCs w:val="32"/>
    </w:rPr>
  </w:style>
  <w:style w:type="paragraph" w:styleId="10">
    <w:name w:val="Normal (Web)"/>
    <w:basedOn w:val="1"/>
    <w:semiHidden/>
    <w:unhideWhenUsed/>
    <w:qFormat/>
    <w:uiPriority w:val="99"/>
    <w:pPr>
      <w:spacing w:line="240" w:lineRule="auto"/>
      <w:ind w:firstLine="0"/>
    </w:pPr>
    <w:rPr>
      <w:sz w:val="24"/>
      <w:szCs w:val="24"/>
    </w:rPr>
  </w:style>
  <w:style w:type="table" w:styleId="12">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4">
    <w:name w:val="Strong"/>
    <w:basedOn w:val="13"/>
    <w:qFormat/>
    <w:locked/>
    <w:uiPriority w:val="0"/>
    <w:rPr>
      <w:b/>
    </w:rPr>
  </w:style>
  <w:style w:type="paragraph" w:customStyle="1" w:styleId="15">
    <w:name w:val="表格文字"/>
    <w:basedOn w:val="1"/>
    <w:qFormat/>
    <w:uiPriority w:val="0"/>
    <w:pPr>
      <w:snapToGrid w:val="0"/>
      <w:spacing w:before="25" w:after="25"/>
    </w:pPr>
    <w:rPr>
      <w:rFonts w:ascii="Calibri" w:hAnsi="Calibri" w:eastAsia="Calibri"/>
      <w:bCs/>
      <w:spacing w:val="10"/>
      <w:sz w:val="24"/>
      <w:szCs w:val="20"/>
      <w:lang w:eastAsia="en-US"/>
    </w:rPr>
  </w:style>
  <w:style w:type="character" w:customStyle="1" w:styleId="16">
    <w:name w:val="标题 2 Char"/>
    <w:basedOn w:val="13"/>
    <w:link w:val="3"/>
    <w:qFormat/>
    <w:uiPriority w:val="99"/>
    <w:rPr>
      <w:rFonts w:ascii="Cambria" w:hAnsi="Cambria" w:eastAsia="宋体" w:cs="Times New Roman"/>
      <w:smallCaps/>
      <w:kern w:val="0"/>
      <w:sz w:val="28"/>
      <w:szCs w:val="28"/>
      <w:lang w:eastAsia="en-US"/>
    </w:rPr>
  </w:style>
  <w:style w:type="character" w:customStyle="1" w:styleId="17">
    <w:name w:val="标题 6 Char"/>
    <w:basedOn w:val="13"/>
    <w:link w:val="4"/>
    <w:qFormat/>
    <w:uiPriority w:val="99"/>
    <w:rPr>
      <w:rFonts w:ascii="Cambria" w:hAnsi="Cambria" w:eastAsia="宋体" w:cs="Times New Roman"/>
      <w:b/>
      <w:bCs/>
      <w:sz w:val="24"/>
      <w:szCs w:val="24"/>
    </w:rPr>
  </w:style>
  <w:style w:type="paragraph" w:styleId="18">
    <w:name w:val="List Paragraph"/>
    <w:basedOn w:val="1"/>
    <w:qFormat/>
    <w:uiPriority w:val="34"/>
    <w:pPr>
      <w:ind w:firstLine="420"/>
    </w:pPr>
  </w:style>
  <w:style w:type="paragraph" w:customStyle="1" w:styleId="19">
    <w:name w:val="三级标题"/>
    <w:basedOn w:val="1"/>
    <w:link w:val="20"/>
    <w:qFormat/>
    <w:uiPriority w:val="0"/>
    <w:pPr>
      <w:spacing w:beforeLines="500" w:afterLines="150"/>
    </w:pPr>
    <w:rPr>
      <w:rFonts w:ascii="方正小标宋简体" w:eastAsia="方正小标宋简体"/>
      <w:sz w:val="36"/>
      <w:szCs w:val="36"/>
    </w:rPr>
  </w:style>
  <w:style w:type="character" w:customStyle="1" w:styleId="20">
    <w:name w:val="三级标题 Char"/>
    <w:basedOn w:val="13"/>
    <w:link w:val="19"/>
    <w:qFormat/>
    <w:uiPriority w:val="0"/>
    <w:rPr>
      <w:rFonts w:ascii="方正小标宋简体" w:eastAsia="方正小标宋简体"/>
      <w:kern w:val="2"/>
      <w:sz w:val="36"/>
      <w:szCs w:val="36"/>
    </w:rPr>
  </w:style>
  <w:style w:type="paragraph" w:customStyle="1" w:styleId="21">
    <w:name w:val="四级标题"/>
    <w:basedOn w:val="1"/>
    <w:link w:val="22"/>
    <w:qFormat/>
    <w:uiPriority w:val="0"/>
    <w:pPr>
      <w:ind w:firstLine="480"/>
    </w:pPr>
    <w:rPr>
      <w:rFonts w:ascii="黑体" w:eastAsia="黑体"/>
      <w:sz w:val="24"/>
      <w:szCs w:val="24"/>
    </w:rPr>
  </w:style>
  <w:style w:type="character" w:customStyle="1" w:styleId="22">
    <w:name w:val="四级标题 Char"/>
    <w:basedOn w:val="13"/>
    <w:link w:val="21"/>
    <w:qFormat/>
    <w:uiPriority w:val="0"/>
    <w:rPr>
      <w:rFonts w:ascii="黑体" w:eastAsia="黑体"/>
      <w:sz w:val="24"/>
      <w:szCs w:val="24"/>
    </w:rPr>
  </w:style>
  <w:style w:type="paragraph" w:customStyle="1" w:styleId="23">
    <w:name w:val="标题四"/>
    <w:basedOn w:val="21"/>
    <w:link w:val="24"/>
    <w:qFormat/>
    <w:uiPriority w:val="0"/>
  </w:style>
  <w:style w:type="character" w:customStyle="1" w:styleId="24">
    <w:name w:val="标题四 Char"/>
    <w:basedOn w:val="22"/>
    <w:link w:val="23"/>
    <w:qFormat/>
    <w:uiPriority w:val="0"/>
    <w:rPr>
      <w:rFonts w:ascii="黑体" w:eastAsia="黑体"/>
      <w:sz w:val="24"/>
      <w:szCs w:val="24"/>
    </w:rPr>
  </w:style>
  <w:style w:type="character" w:customStyle="1" w:styleId="25">
    <w:name w:val="页眉 Char"/>
    <w:basedOn w:val="13"/>
    <w:link w:val="8"/>
    <w:qFormat/>
    <w:uiPriority w:val="99"/>
    <w:rPr>
      <w:sz w:val="18"/>
      <w:szCs w:val="18"/>
    </w:rPr>
  </w:style>
  <w:style w:type="character" w:customStyle="1" w:styleId="26">
    <w:name w:val="页脚 Char"/>
    <w:basedOn w:val="13"/>
    <w:link w:val="7"/>
    <w:qFormat/>
    <w:uiPriority w:val="99"/>
    <w:rPr>
      <w:sz w:val="18"/>
      <w:szCs w:val="18"/>
    </w:rPr>
  </w:style>
  <w:style w:type="character" w:customStyle="1" w:styleId="27">
    <w:name w:val="批注框文本 Char"/>
    <w:basedOn w:val="13"/>
    <w:link w:val="6"/>
    <w:semiHidden/>
    <w:qFormat/>
    <w:uiPriority w:val="99"/>
    <w:rPr>
      <w:rFonts w:ascii="Times New Roman" w:hAnsi="Times New Roman" w:eastAsia="仿宋_GB2312"/>
      <w:sz w:val="18"/>
      <w:szCs w:val="18"/>
    </w:rPr>
  </w:style>
  <w:style w:type="character" w:customStyle="1" w:styleId="28">
    <w:name w:val="标题 3 Char"/>
    <w:basedOn w:val="13"/>
    <w:link w:val="2"/>
    <w:qFormat/>
    <w:uiPriority w:val="0"/>
    <w:rPr>
      <w:rFonts w:ascii="Times New Roman" w:hAnsi="Times New Roman" w:eastAsia="仿宋_GB2312" w:cs="Times New Roman"/>
      <w:b/>
      <w:bCs/>
      <w:kern w:val="2"/>
      <w:sz w:val="32"/>
      <w:szCs w:val="32"/>
    </w:rPr>
  </w:style>
  <w:style w:type="character" w:customStyle="1" w:styleId="29">
    <w:name w:val="副标题 Char"/>
    <w:basedOn w:val="13"/>
    <w:link w:val="9"/>
    <w:qFormat/>
    <w:uiPriority w:val="0"/>
    <w:rPr>
      <w:rFonts w:ascii="Cambria" w:hAnsi="Cambria" w:eastAsia="仿宋_GB2312" w:cs="Times New Roman"/>
      <w:b/>
      <w:bCs/>
      <w:kern w:val="28"/>
      <w:sz w:val="32"/>
      <w:szCs w:val="32"/>
    </w:rPr>
  </w:style>
  <w:style w:type="paragraph" w:customStyle="1" w:styleId="30">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8</Pages>
  <Words>5441</Words>
  <Characters>5579</Characters>
  <Lines>40</Lines>
  <Paragraphs>11</Paragraphs>
  <TotalTime>0</TotalTime>
  <ScaleCrop>false</ScaleCrop>
  <LinksUpToDate>false</LinksUpToDate>
  <CharactersWithSpaces>5606</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2024-05-16T01:33:00Z</dcterms:created>
  <dc:creator>Sky123.Org</dc:creator>
  <cp:lastModifiedBy>Administrator</cp:lastModifiedBy>
  <cp:lastPrinted>2025-10-27T10:12:00Z</cp:lastPrinted>
  <dcterms:modified xsi:type="dcterms:W3CDTF">2026-10-21T03:24:07Z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F9C45E81E04D4257B6E35EA51D35A40D_13</vt:lpwstr>
  </property>
  <property fmtid="{D5CDD505-2E9C-101B-9397-08002B2CF9AE}" pid="4" name="KSOTemplateDocerSaveRecord">
    <vt:lpwstr>eyJoZGlkIjoiNjg0NzQ0NmNmYjlhYmM0NDBmZTg1MDM0MTljOTVkODIiLCJ1c2VySWQiOiI0MjMyNjgyNDAifQ==</vt:lpwstr>
  </property>
</Properties>
</file>