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D1252">
      <w:pPr>
        <w:ind w:firstLine="0"/>
        <w:rPr>
          <w:rFonts w:hint="eastAsia" w:ascii="仿宋_GB2312" w:hAnsi="仿宋_GB2312" w:cs="仿宋_GB2312"/>
          <w:b/>
          <w:bCs/>
        </w:rPr>
      </w:pPr>
      <w:r>
        <w:rPr>
          <w:rFonts w:hint="eastAsia"/>
          <w:b/>
          <w:bCs/>
        </w:rPr>
        <w:t>附件</w:t>
      </w:r>
      <w:r>
        <w:rPr>
          <w:rFonts w:hint="eastAsia"/>
          <w:b/>
          <w:bCs/>
          <w:lang w:val="en-US" w:eastAsia="zh-CN"/>
        </w:rPr>
        <w:t>1</w:t>
      </w:r>
      <w:r>
        <w:rPr>
          <w:rFonts w:hint="eastAsia" w:ascii="仿宋_GB2312" w:hAnsi="仿宋_GB2312" w:cs="仿宋_GB2312"/>
          <w:b/>
          <w:bCs/>
        </w:rPr>
        <w:t>：</w:t>
      </w:r>
      <w:bookmarkStart w:id="0" w:name="_GoBack"/>
      <w:bookmarkEnd w:id="0"/>
    </w:p>
    <w:p w14:paraId="3A3B0F4E">
      <w:pPr>
        <w:pStyle w:val="4"/>
        <w:jc w:val="center"/>
        <w:rPr>
          <w:rFonts w:hint="eastAsia" w:ascii="方正小标宋简体" w:eastAsia="方正小标宋简体"/>
          <w:sz w:val="44"/>
          <w:szCs w:val="44"/>
        </w:rPr>
      </w:pPr>
      <w:r>
        <w:rPr>
          <w:rFonts w:hint="eastAsia" w:ascii="方正小标宋简体" w:eastAsia="方正小标宋简体"/>
          <w:sz w:val="44"/>
          <w:szCs w:val="44"/>
          <w:lang w:eastAsia="zh-CN"/>
        </w:rPr>
        <w:t>儿童心肺功能仪</w:t>
      </w:r>
      <w:r>
        <w:rPr>
          <w:rFonts w:hint="eastAsia" w:ascii="方正小标宋简体" w:eastAsia="方正小标宋简体"/>
          <w:sz w:val="44"/>
          <w:szCs w:val="44"/>
        </w:rPr>
        <w:t>技术要求及</w:t>
      </w:r>
      <w:r>
        <w:rPr>
          <w:rFonts w:hint="eastAsia" w:ascii="方正小标宋简体" w:eastAsia="方正小标宋简体"/>
          <w:sz w:val="44"/>
          <w:szCs w:val="44"/>
          <w:lang w:eastAsia="zh-CN"/>
        </w:rPr>
        <w:t>具</w:t>
      </w:r>
      <w:r>
        <w:rPr>
          <w:rFonts w:hint="eastAsia" w:ascii="方正小标宋简体" w:eastAsia="方正小标宋简体"/>
          <w:sz w:val="44"/>
          <w:szCs w:val="44"/>
        </w:rPr>
        <w:t>体评审标准</w:t>
      </w:r>
    </w:p>
    <w:p w14:paraId="3A2C0485">
      <w:pPr>
        <w:rPr>
          <w:rFonts w:hint="eastAsia" w:eastAsia="方正小标宋简体"/>
          <w:lang w:eastAsia="zh-CN"/>
        </w:rPr>
      </w:pPr>
      <w:r>
        <w:rPr>
          <w:rFonts w:hint="eastAsia" w:ascii="宋体" w:hAnsi="宋体" w:eastAsia="宋体" w:cs="宋体"/>
          <w:b/>
          <w:bCs/>
          <w:sz w:val="32"/>
          <w:szCs w:val="32"/>
          <w:lang w:eastAsia="zh-CN"/>
        </w:rPr>
        <w:t>一、儿童心肺功能仪技术要求</w:t>
      </w:r>
    </w:p>
    <w:tbl>
      <w:tblPr>
        <w:tblStyle w:val="12"/>
        <w:tblW w:w="8839"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173"/>
        <w:gridCol w:w="673"/>
        <w:gridCol w:w="6993"/>
      </w:tblGrid>
      <w:tr w14:paraId="0689C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8BD197">
            <w:pPr>
              <w:spacing w:beforeLines="0" w:afterLines="0" w:line="240" w:lineRule="auto"/>
              <w:ind w:firstLine="0"/>
              <w:jc w:val="center"/>
              <w:rPr>
                <w:rFonts w:hint="eastAsia" w:ascii="仿宋" w:hAnsi="仿宋" w:eastAsia="仿宋" w:cs="仿宋"/>
                <w:b/>
                <w:color w:val="auto"/>
                <w:sz w:val="22"/>
                <w:szCs w:val="22"/>
              </w:rPr>
            </w:pPr>
            <w:r>
              <w:rPr>
                <w:rFonts w:hint="eastAsia" w:ascii="仿宋" w:hAnsi="仿宋" w:eastAsia="仿宋" w:cs="仿宋"/>
                <w:b/>
                <w:color w:val="auto"/>
                <w:sz w:val="22"/>
                <w:szCs w:val="22"/>
              </w:rPr>
              <w:t>参数性质</w:t>
            </w: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7E65C4">
            <w:pPr>
              <w:spacing w:beforeLines="0" w:afterLines="0" w:line="240" w:lineRule="auto"/>
              <w:ind w:firstLine="0"/>
              <w:jc w:val="center"/>
              <w:rPr>
                <w:rFonts w:hint="eastAsia" w:ascii="仿宋" w:hAnsi="仿宋" w:eastAsia="仿宋" w:cs="仿宋"/>
                <w:b/>
                <w:color w:val="auto"/>
                <w:sz w:val="22"/>
                <w:szCs w:val="22"/>
              </w:rPr>
            </w:pPr>
            <w:r>
              <w:rPr>
                <w:rFonts w:hint="eastAsia" w:ascii="仿宋" w:hAnsi="仿宋" w:eastAsia="仿宋" w:cs="仿宋"/>
                <w:b/>
                <w:color w:val="auto"/>
                <w:sz w:val="22"/>
                <w:szCs w:val="22"/>
              </w:rPr>
              <w:t>序号</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AE365D">
            <w:pPr>
              <w:spacing w:beforeLines="0" w:afterLines="0" w:line="240" w:lineRule="auto"/>
              <w:ind w:firstLine="0"/>
              <w:jc w:val="center"/>
              <w:rPr>
                <w:rFonts w:hint="eastAsia" w:ascii="仿宋" w:hAnsi="仿宋" w:eastAsia="仿宋" w:cs="仿宋"/>
                <w:b/>
                <w:color w:val="auto"/>
                <w:sz w:val="22"/>
                <w:szCs w:val="22"/>
              </w:rPr>
            </w:pPr>
            <w:r>
              <w:rPr>
                <w:rFonts w:hint="eastAsia" w:ascii="仿宋" w:hAnsi="仿宋" w:eastAsia="仿宋" w:cs="仿宋"/>
                <w:b/>
                <w:color w:val="auto"/>
                <w:sz w:val="22"/>
                <w:szCs w:val="22"/>
              </w:rPr>
              <w:t>具体技术(参数)要求</w:t>
            </w:r>
          </w:p>
        </w:tc>
      </w:tr>
      <w:tr w14:paraId="20555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1F746B">
            <w:pPr>
              <w:spacing w:beforeLines="0" w:afterLines="0" w:line="240" w:lineRule="auto"/>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w:t>
            </w: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E02416">
            <w:pPr>
              <w:spacing w:beforeLines="0" w:afterLines="0" w:line="240" w:lineRule="auto"/>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1</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D9B0A8">
            <w:p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一、</w:t>
            </w:r>
            <w:r>
              <w:rPr>
                <w:rFonts w:hint="eastAsia" w:ascii="仿宋" w:hAnsi="仿宋" w:eastAsia="仿宋" w:cs="仿宋"/>
                <w:b/>
                <w:color w:val="auto"/>
                <w:sz w:val="22"/>
                <w:szCs w:val="22"/>
              </w:rPr>
              <w:t>总体要求：</w:t>
            </w:r>
            <w:r>
              <w:rPr>
                <w:rFonts w:hint="eastAsia" w:ascii="仿宋" w:hAnsi="仿宋" w:eastAsia="仿宋" w:cs="仿宋"/>
                <w:color w:val="auto"/>
                <w:sz w:val="22"/>
                <w:szCs w:val="22"/>
              </w:rPr>
              <w:t>1、儿童肺功能仪具有有效的医疗器械注册证明（提供注册证明文件）。</w:t>
            </w:r>
          </w:p>
        </w:tc>
      </w:tr>
      <w:tr w14:paraId="346BD2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01FAD3">
            <w:pPr>
              <w:spacing w:beforeLines="0" w:afterLines="0" w:line="240" w:lineRule="auto"/>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w:t>
            </w: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403FA3">
            <w:pPr>
              <w:spacing w:beforeLines="0" w:afterLines="0" w:line="240" w:lineRule="auto"/>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2</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F14B3E">
            <w:pPr>
              <w:pStyle w:val="4"/>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b w:val="0"/>
                <w:color w:val="auto"/>
                <w:sz w:val="22"/>
                <w:szCs w:val="22"/>
              </w:rPr>
              <w:t>2.</w:t>
            </w:r>
            <w:r>
              <w:rPr>
                <w:rFonts w:hint="eastAsia" w:ascii="仿宋" w:hAnsi="仿宋" w:eastAsia="仿宋" w:cs="仿宋"/>
                <w:color w:val="auto"/>
                <w:sz w:val="22"/>
                <w:szCs w:val="22"/>
              </w:rPr>
              <w:t>适用范围：</w:t>
            </w:r>
            <w:r>
              <w:rPr>
                <w:rFonts w:hint="eastAsia" w:ascii="仿宋" w:hAnsi="仿宋" w:eastAsia="仿宋" w:cs="仿宋"/>
                <w:b w:val="0"/>
                <w:color w:val="auto"/>
                <w:sz w:val="22"/>
                <w:szCs w:val="22"/>
              </w:rPr>
              <w:t>设备适用于0-5周岁学龄前儿童，可完成潮气呼吸环功能测试：患儿在平静自主呼吸状态下即可完成检查，对儿童配合度要求低；可开展支气管激发舒张试验，用于喘息、反复咳嗽、哮喘、小气道功能异常等儿科呼吸系统疾病评估、疗效随访。配合较好的4-5岁及其以上的儿童，支持通气肺功能检测。</w:t>
            </w:r>
          </w:p>
        </w:tc>
      </w:tr>
      <w:tr w14:paraId="2C6CE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trPr>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015048">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w:t>
            </w: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6AFBB3">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3</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706731">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3、保修期≥</w:t>
            </w:r>
            <w:r>
              <w:rPr>
                <w:rFonts w:hint="eastAsia" w:ascii="仿宋" w:hAnsi="仿宋" w:eastAsia="仿宋" w:cs="仿宋"/>
                <w:b/>
                <w:bCs/>
                <w:color w:val="auto"/>
                <w:sz w:val="22"/>
                <w:szCs w:val="22"/>
                <w:lang w:val="en-US" w:eastAsia="zh-CN"/>
              </w:rPr>
              <w:t>5</w:t>
            </w:r>
            <w:r>
              <w:rPr>
                <w:rFonts w:hint="eastAsia" w:ascii="仿宋" w:hAnsi="仿宋" w:eastAsia="仿宋" w:cs="仿宋"/>
                <w:color w:val="auto"/>
                <w:sz w:val="22"/>
                <w:szCs w:val="22"/>
              </w:rPr>
              <w:t>年，故障发生后2小时内响应，保期内提供每年至少一次的预防性维护，费用均包含在投标报价中</w:t>
            </w:r>
            <w:r>
              <w:rPr>
                <w:rFonts w:hint="eastAsia" w:ascii="仿宋" w:hAnsi="仿宋" w:eastAsia="仿宋" w:cs="仿宋"/>
                <w:color w:val="000000" w:themeColor="text1"/>
                <w:sz w:val="22"/>
                <w:szCs w:val="22"/>
                <w:lang w:eastAsia="zh-CN"/>
                <w14:textFill>
                  <w14:solidFill>
                    <w14:schemeClr w14:val="tx1"/>
                  </w14:solidFill>
                </w14:textFill>
              </w:rPr>
              <w:t>。</w:t>
            </w:r>
            <w:r>
              <w:rPr>
                <w:rFonts w:hint="eastAsia" w:ascii="仿宋" w:hAnsi="仿宋" w:eastAsia="仿宋" w:cs="仿宋"/>
                <w:color w:val="000000" w:themeColor="text1"/>
                <w:sz w:val="22"/>
                <w:szCs w:val="22"/>
                <w14:textFill>
                  <w14:solidFill>
                    <w14:schemeClr w14:val="tx1"/>
                  </w14:solidFill>
                </w14:textFill>
              </w:rPr>
              <w:t>耗材为通用耗材，非专机专用。</w:t>
            </w:r>
          </w:p>
        </w:tc>
      </w:tr>
      <w:tr w14:paraId="49E1F5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EA188B">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w:t>
            </w: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1081FF">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4</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A7A131">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4、设备主机使用年限≥8年，（提供同型号产品铭牌/标签或使用说明书等证明）</w:t>
            </w:r>
            <w:r>
              <w:rPr>
                <w:rFonts w:hint="eastAsia" w:ascii="仿宋" w:hAnsi="仿宋" w:eastAsia="仿宋" w:cs="仿宋"/>
                <w:color w:val="auto"/>
                <w:sz w:val="22"/>
                <w:szCs w:val="22"/>
                <w:lang w:eastAsia="zh-CN"/>
              </w:rPr>
              <w:t>。</w:t>
            </w:r>
          </w:p>
        </w:tc>
      </w:tr>
      <w:tr w14:paraId="136D6F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5" w:hRule="atLeast"/>
        </w:trPr>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1A1E15">
            <w:pPr>
              <w:spacing w:beforeLines="0" w:afterLines="0" w:line="360" w:lineRule="exact"/>
              <w:ind w:firstLine="0"/>
              <w:jc w:val="center"/>
              <w:rPr>
                <w:rFonts w:hint="eastAsia" w:ascii="仿宋" w:hAnsi="仿宋" w:eastAsia="仿宋" w:cs="仿宋"/>
                <w:color w:val="auto"/>
                <w:sz w:val="22"/>
                <w:szCs w:val="22"/>
              </w:rPr>
            </w:pP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584DA8">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5</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6ED673">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5、设备交货日期不得超过生产日期后6个月；</w:t>
            </w:r>
          </w:p>
        </w:tc>
      </w:tr>
      <w:tr w14:paraId="5E1F6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B1399F">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w:t>
            </w: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EE412B">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6</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A1ECDE">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6、所投设备为非召回、非停产设备；</w:t>
            </w:r>
          </w:p>
        </w:tc>
      </w:tr>
      <w:tr w14:paraId="212D9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06" w:hRule="atLeast"/>
        </w:trPr>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B4A5E6">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w:t>
            </w: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11054A">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7</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24681F">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7、免费开放端口（须提供Web-API接口说明文档），可连接医院的东华HIS系统，连接后支持扫码枪扫码自动输入病人信息资料，连接系统所需的一切费用均包含在报价中；</w:t>
            </w:r>
          </w:p>
        </w:tc>
      </w:tr>
      <w:tr w14:paraId="3804C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5DD320">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w:t>
            </w: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641103">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8</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60F4E3">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二、主要技术参数要求（达到或优于）</w:t>
            </w:r>
          </w:p>
          <w:p w14:paraId="0C861165">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sz w:val="22"/>
                <w:szCs w:val="22"/>
                <w:highlight w:val="none"/>
                <w:lang w:val="en-US" w:eastAsia="zh-CN"/>
              </w:rPr>
              <w:t>1.</w:t>
            </w:r>
            <w:r>
              <w:rPr>
                <w:rFonts w:hint="eastAsia" w:ascii="仿宋" w:hAnsi="仿宋" w:eastAsia="仿宋" w:cs="仿宋"/>
                <w:sz w:val="22"/>
                <w:szCs w:val="22"/>
                <w:highlight w:val="none"/>
              </w:rPr>
              <w:t>主要测试项目：具体包含但不限于：每分钟最大通气量、流量容积环和用力时间肺活量、慢通气功能、潮气呼吸环分析、支气管激发试验、舒张试验；呼吸肌力、气道阻力检测可为主机标配或可选扩展模块；气道阻力检测支持阻断法或者脉冲振荡 (IOS) 至少一种方式；整体满足科研和临床诊断需求。</w:t>
            </w:r>
            <w:r>
              <w:rPr>
                <w:rFonts w:hint="eastAsia" w:ascii="仿宋" w:hAnsi="仿宋" w:eastAsia="仿宋" w:cs="仿宋"/>
                <w:color w:val="auto"/>
                <w:sz w:val="22"/>
                <w:szCs w:val="22"/>
                <w:highlight w:val="none"/>
              </w:rPr>
              <w:t xml:space="preserve"> </w:t>
            </w:r>
          </w:p>
        </w:tc>
      </w:tr>
      <w:tr w14:paraId="65BABD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DBA5A8">
            <w:pPr>
              <w:spacing w:beforeLines="0" w:afterLines="0" w:line="360" w:lineRule="exact"/>
              <w:ind w:firstLine="0"/>
              <w:jc w:val="center"/>
              <w:rPr>
                <w:rFonts w:hint="eastAsia" w:ascii="仿宋" w:hAnsi="仿宋" w:eastAsia="仿宋" w:cs="仿宋"/>
                <w:color w:val="auto"/>
                <w:sz w:val="22"/>
                <w:szCs w:val="22"/>
              </w:rPr>
            </w:pP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873D44">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9</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0F639B">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lang w:val="en-US" w:eastAsia="zh-CN"/>
              </w:rPr>
              <w:t>2、</w:t>
            </w:r>
            <w:r>
              <w:rPr>
                <w:rFonts w:hint="eastAsia" w:ascii="仿宋" w:hAnsi="仿宋" w:eastAsia="仿宋" w:cs="仿宋"/>
                <w:color w:val="auto"/>
                <w:sz w:val="22"/>
                <w:szCs w:val="22"/>
              </w:rPr>
              <w:t>可实现运动激发试验；</w:t>
            </w:r>
          </w:p>
        </w:tc>
      </w:tr>
      <w:tr w14:paraId="2248B8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F58FE8">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w:t>
            </w: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6C025F">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10</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5F820F">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lang w:val="en-US" w:eastAsia="zh-CN"/>
              </w:rPr>
              <w:t>3</w:t>
            </w:r>
            <w:r>
              <w:rPr>
                <w:rFonts w:hint="eastAsia" w:ascii="仿宋" w:hAnsi="仿宋" w:eastAsia="仿宋" w:cs="仿宋"/>
                <w:color w:val="auto"/>
                <w:sz w:val="22"/>
                <w:szCs w:val="22"/>
              </w:rPr>
              <w:t>、 流量传感器</w:t>
            </w:r>
            <w:r>
              <w:rPr>
                <w:rFonts w:hint="eastAsia" w:ascii="仿宋" w:hAnsi="仿宋" w:eastAsia="仿宋" w:cs="仿宋"/>
                <w:color w:val="auto"/>
                <w:sz w:val="22"/>
                <w:szCs w:val="22"/>
                <w:lang w:eastAsia="zh-CN"/>
              </w:rPr>
              <w:t>：</w:t>
            </w:r>
            <w:r>
              <w:rPr>
                <w:rFonts w:hint="eastAsia" w:ascii="仿宋" w:hAnsi="仿宋" w:eastAsia="仿宋" w:cs="仿宋"/>
                <w:sz w:val="22"/>
                <w:szCs w:val="22"/>
              </w:rPr>
              <w:t>数字超声流量传感器，长寿命设计，无需专业工具，可直接拆卸，清洗消毒，消毒后能立即投入使用，无干燥等待时间，内部气流通道设计没有任何阻力筛网</w:t>
            </w:r>
            <w:r>
              <w:rPr>
                <w:rFonts w:hint="eastAsia" w:ascii="仿宋" w:hAnsi="仿宋" w:eastAsia="仿宋" w:cs="仿宋"/>
                <w:color w:val="auto"/>
                <w:sz w:val="22"/>
                <w:szCs w:val="22"/>
              </w:rPr>
              <w:t xml:space="preserve">，不干扰学龄前儿童自主呼吸；支持容积定标、三流速验证。 </w:t>
            </w:r>
          </w:p>
        </w:tc>
      </w:tr>
      <w:tr w14:paraId="0B52E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7E1453">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w:t>
            </w: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9E392A">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11</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898E18">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lang w:val="en-US" w:eastAsia="zh-CN"/>
              </w:rPr>
              <w:t>4</w:t>
            </w:r>
            <w:r>
              <w:rPr>
                <w:rFonts w:hint="eastAsia" w:ascii="仿宋" w:hAnsi="仿宋" w:eastAsia="仿宋" w:cs="仿宋"/>
                <w:color w:val="auto"/>
                <w:sz w:val="22"/>
                <w:szCs w:val="22"/>
              </w:rPr>
              <w:t>、流量测试范围：0至±20升/秒；测量精度：±1.5%；分辨率：≤1毫升/秒；容积测试范围：0-±21升；测量精度：±1.5%</w:t>
            </w:r>
          </w:p>
        </w:tc>
      </w:tr>
      <w:tr w14:paraId="0F9E5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14D485">
            <w:pPr>
              <w:spacing w:beforeLines="0" w:afterLines="0" w:line="360" w:lineRule="exact"/>
              <w:ind w:firstLine="0"/>
              <w:jc w:val="center"/>
              <w:rPr>
                <w:rFonts w:hint="eastAsia" w:ascii="仿宋" w:hAnsi="仿宋" w:eastAsia="仿宋" w:cs="仿宋"/>
                <w:color w:val="auto"/>
                <w:sz w:val="22"/>
                <w:szCs w:val="22"/>
              </w:rPr>
            </w:pP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E90E4F">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12</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EFE819">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lang w:val="en-US" w:eastAsia="zh-CN"/>
              </w:rPr>
              <w:t>5</w:t>
            </w:r>
            <w:r>
              <w:rPr>
                <w:rFonts w:hint="eastAsia" w:ascii="仿宋" w:hAnsi="仿宋" w:eastAsia="仿宋" w:cs="仿宋"/>
                <w:color w:val="auto"/>
                <w:sz w:val="22"/>
                <w:szCs w:val="22"/>
              </w:rPr>
              <w:t>、一个流量传感器即可满足从婴幼儿至成人的呼吸功能检测，无需针对不同年龄患者更换传感器，避免重复定标的问题。</w:t>
            </w:r>
          </w:p>
        </w:tc>
      </w:tr>
      <w:tr w14:paraId="4970F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E7F261">
            <w:pPr>
              <w:spacing w:beforeLines="0" w:afterLines="0" w:line="360" w:lineRule="exact"/>
              <w:ind w:firstLine="0"/>
              <w:jc w:val="center"/>
              <w:rPr>
                <w:rFonts w:hint="eastAsia" w:ascii="仿宋" w:hAnsi="仿宋" w:eastAsia="仿宋" w:cs="仿宋"/>
                <w:color w:val="auto"/>
                <w:sz w:val="22"/>
                <w:szCs w:val="22"/>
              </w:rPr>
            </w:pP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33220B">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13</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55E7F0">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lang w:val="en-US" w:eastAsia="zh-CN"/>
              </w:rPr>
              <w:t>6</w:t>
            </w:r>
            <w:r>
              <w:rPr>
                <w:rFonts w:hint="eastAsia" w:ascii="仿宋" w:hAnsi="仿宋" w:eastAsia="仿宋" w:cs="仿宋"/>
                <w:color w:val="auto"/>
                <w:sz w:val="22"/>
                <w:szCs w:val="22"/>
              </w:rPr>
              <w:t>、环境校准要求：内置温度、湿度及大气压传感器，BTPS自动校正，用于实时测量口腔处的环境参数；具备自动环境校正功能，容量免定标。</w:t>
            </w:r>
          </w:p>
        </w:tc>
      </w:tr>
      <w:tr w14:paraId="72551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E450D0">
            <w:pPr>
              <w:spacing w:beforeLines="0" w:afterLines="0" w:line="360" w:lineRule="exact"/>
              <w:ind w:firstLine="0"/>
              <w:jc w:val="center"/>
              <w:rPr>
                <w:rFonts w:hint="eastAsia" w:ascii="仿宋" w:hAnsi="仿宋" w:eastAsia="仿宋" w:cs="仿宋"/>
                <w:color w:val="auto"/>
                <w:sz w:val="22"/>
                <w:szCs w:val="22"/>
              </w:rPr>
            </w:pP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7A89D7">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14</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FE616C">
            <w:p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lang w:val="en-US" w:eastAsia="zh-CN"/>
              </w:rPr>
              <w:t>7</w:t>
            </w:r>
            <w:r>
              <w:rPr>
                <w:rFonts w:hint="eastAsia" w:ascii="仿宋" w:hAnsi="仿宋" w:eastAsia="仿宋" w:cs="仿宋"/>
                <w:color w:val="auto"/>
                <w:sz w:val="22"/>
                <w:szCs w:val="22"/>
              </w:rPr>
              <w:t>、通气功能测试适合配合较好的4‑5岁及以上儿童完成测试，测试内容主要包括：</w:t>
            </w:r>
          </w:p>
          <w:p w14:paraId="485E8227">
            <w:p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1）每分最大通气量检测参数：MVV（最大通气量）、VR%（通气储备）等。</w:t>
            </w:r>
          </w:p>
          <w:p w14:paraId="5F98978F">
            <w:p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2）流量容积环和用力时间肺活量检测参数：FVC（用力肺活量）、FEV0.75（0.75秒量）、FEV1（一秒量）、FEV1/FVC（一秒率）、EV（外切容积）、EV/FVC（外切容积比），FET（呼气时间）、PIF（吸气峰流量）、PEF（峰流量）、MEF25（25%呼气流量）、MEF50（50%呼气流量）、MEF75（75%呼气流量）、MMEF（中段呼气流量）等。</w:t>
            </w:r>
          </w:p>
          <w:p w14:paraId="65253033">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3）慢通气功能检测参数：VCMAX（最大肺活量）、VT（潮气量）、IC（深吸气量）、BF（呼吸频率）、MV（每分通气量）、ERV（补呼气量）等。</w:t>
            </w:r>
          </w:p>
        </w:tc>
      </w:tr>
      <w:tr w14:paraId="2A598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310C49">
            <w:pPr>
              <w:spacing w:beforeLines="0" w:afterLines="0" w:line="360" w:lineRule="exact"/>
              <w:ind w:firstLine="0"/>
              <w:jc w:val="center"/>
              <w:rPr>
                <w:rFonts w:hint="eastAsia" w:ascii="仿宋" w:hAnsi="仿宋" w:eastAsia="仿宋" w:cs="仿宋"/>
                <w:color w:val="auto"/>
                <w:sz w:val="22"/>
                <w:szCs w:val="22"/>
              </w:rPr>
            </w:pP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F427A5">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15</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ABC367">
            <w:pPr>
              <w:numPr>
                <w:ilvl w:val="0"/>
                <w:numId w:val="0"/>
              </w:numPr>
              <w:spacing w:beforeLines="0" w:afterLines="0" w:line="400" w:lineRule="exact"/>
              <w:ind w:firstLine="0"/>
              <w:rPr>
                <w:rFonts w:hint="eastAsia" w:ascii="仿宋" w:hAnsi="仿宋" w:eastAsia="仿宋" w:cs="仿宋"/>
                <w:color w:val="auto"/>
                <w:sz w:val="22"/>
                <w:szCs w:val="22"/>
                <w:highlight w:val="none"/>
              </w:rPr>
            </w:pPr>
            <w:r>
              <w:rPr>
                <w:rFonts w:hint="eastAsia" w:ascii="仿宋" w:hAnsi="仿宋" w:eastAsia="仿宋" w:cs="仿宋"/>
                <w:sz w:val="22"/>
                <w:szCs w:val="22"/>
                <w:highlight w:val="none"/>
                <w:lang w:val="en-US" w:eastAsia="zh-CN"/>
              </w:rPr>
              <w:t>8、</w:t>
            </w:r>
            <w:r>
              <w:rPr>
                <w:rFonts w:hint="eastAsia" w:ascii="仿宋" w:hAnsi="仿宋" w:eastAsia="仿宋" w:cs="仿宋"/>
                <w:sz w:val="22"/>
                <w:szCs w:val="22"/>
                <w:highlight w:val="none"/>
              </w:rPr>
              <w:t>具备呼吸肌力检测能力，可评估呼吸肌肉驱动及力量，输出对应的压力相关检测参数；支持幼儿平静呼吸模式检测，功能可为主机标配或选配扩展模块。</w:t>
            </w:r>
          </w:p>
        </w:tc>
      </w:tr>
      <w:tr w14:paraId="3178BE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CF41F5">
            <w:pPr>
              <w:spacing w:beforeLines="0" w:afterLines="0" w:line="360" w:lineRule="exact"/>
              <w:ind w:firstLine="0"/>
              <w:jc w:val="center"/>
              <w:rPr>
                <w:rFonts w:hint="eastAsia" w:ascii="仿宋" w:hAnsi="仿宋" w:eastAsia="仿宋" w:cs="仿宋"/>
                <w:color w:val="auto"/>
                <w:sz w:val="22"/>
                <w:szCs w:val="22"/>
              </w:rPr>
            </w:pP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DE521B">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16</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B4D49F">
            <w:pPr>
              <w:numPr>
                <w:ilvl w:val="0"/>
                <w:numId w:val="0"/>
              </w:numPr>
              <w:spacing w:beforeLines="0" w:afterLines="0" w:line="400" w:lineRule="exact"/>
              <w:ind w:firstLine="0"/>
              <w:rPr>
                <w:rFonts w:hint="eastAsia" w:ascii="仿宋" w:hAnsi="仿宋" w:eastAsia="仿宋" w:cs="仿宋"/>
                <w:color w:val="auto"/>
                <w:sz w:val="22"/>
                <w:szCs w:val="22"/>
                <w:highlight w:val="none"/>
              </w:rPr>
            </w:pPr>
            <w:r>
              <w:rPr>
                <w:rFonts w:hint="eastAsia" w:ascii="仿宋" w:hAnsi="仿宋" w:eastAsia="仿宋" w:cs="仿宋"/>
                <w:sz w:val="22"/>
                <w:szCs w:val="22"/>
                <w:highlight w:val="none"/>
                <w:lang w:val="en-US" w:eastAsia="zh-CN"/>
              </w:rPr>
              <w:t>9、</w:t>
            </w:r>
            <w:r>
              <w:rPr>
                <w:rFonts w:hint="eastAsia" w:ascii="仿宋" w:hAnsi="仿宋" w:eastAsia="仿宋" w:cs="仿宋"/>
                <w:sz w:val="22"/>
                <w:szCs w:val="22"/>
                <w:highlight w:val="none"/>
              </w:rPr>
              <w:t>幼儿平静呼吸状态下可开展气道阻力检测；支持阻断法（可输出气道总阻力 ROCC、气道传导率 GOCC）或者脉冲振荡 (IOS) 至少一种检测方式，输出对应的气道阻力、气道传导相关参数（该功能为整机标配或扩展模块均可）。</w:t>
            </w:r>
          </w:p>
        </w:tc>
      </w:tr>
      <w:tr w14:paraId="69442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716F87">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w:t>
            </w: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5119DA">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17</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041139">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lang w:val="en-US" w:eastAsia="zh-CN"/>
              </w:rPr>
              <w:t>10</w:t>
            </w:r>
            <w:r>
              <w:rPr>
                <w:rFonts w:hint="eastAsia" w:ascii="仿宋" w:hAnsi="仿宋" w:eastAsia="仿宋" w:cs="仿宋"/>
                <w:color w:val="auto"/>
                <w:sz w:val="22"/>
                <w:szCs w:val="22"/>
              </w:rPr>
              <w:t>、婴幼儿潮气呼吸环：主要用于婴幼儿的肺功能测试，具有</w:t>
            </w:r>
            <w:r>
              <w:rPr>
                <w:rFonts w:hint="eastAsia" w:ascii="仿宋" w:hAnsi="仿宋" w:eastAsia="仿宋" w:cs="仿宋"/>
                <w:color w:val="000000" w:themeColor="text1"/>
                <w:sz w:val="22"/>
                <w:szCs w:val="22"/>
                <w14:textFill>
                  <w14:solidFill>
                    <w14:schemeClr w14:val="tx1"/>
                  </w14:solidFill>
                </w14:textFill>
              </w:rPr>
              <w:t>伪差识别和质量控制功能，使</w:t>
            </w:r>
            <w:r>
              <w:rPr>
                <w:rFonts w:hint="eastAsia" w:ascii="仿宋" w:hAnsi="仿宋" w:eastAsia="仿宋" w:cs="仿宋"/>
                <w:color w:val="auto"/>
                <w:sz w:val="22"/>
                <w:szCs w:val="22"/>
              </w:rPr>
              <w:t>潮气呼吸环的分析结果更加可靠。主要检测参数：TPTEF/TE（达峰时间比）、VPEF/VE（达峰容积比）、TIF50/TEF50（中期流量比）、VT/Kg（公斤潮气量）、RR（呼吸频率）等。符合国内儿科指南参数要求。</w:t>
            </w:r>
          </w:p>
        </w:tc>
      </w:tr>
      <w:tr w14:paraId="48363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88BA87">
            <w:pPr>
              <w:spacing w:beforeLines="0" w:afterLines="0" w:line="360" w:lineRule="exact"/>
              <w:ind w:firstLine="0"/>
              <w:jc w:val="center"/>
              <w:rPr>
                <w:rFonts w:hint="eastAsia" w:ascii="仿宋" w:hAnsi="仿宋" w:eastAsia="仿宋" w:cs="仿宋"/>
                <w:color w:val="auto"/>
                <w:sz w:val="22"/>
                <w:szCs w:val="22"/>
              </w:rPr>
            </w:pP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0E6E24">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18</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2F1C9C">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1</w:t>
            </w:r>
            <w:r>
              <w:rPr>
                <w:rFonts w:hint="eastAsia" w:ascii="仿宋" w:hAnsi="仿宋" w:eastAsia="仿宋" w:cs="仿宋"/>
                <w:color w:val="auto"/>
                <w:sz w:val="22"/>
                <w:szCs w:val="22"/>
                <w:lang w:val="en-US" w:eastAsia="zh-CN"/>
              </w:rPr>
              <w:t>1</w:t>
            </w:r>
            <w:r>
              <w:rPr>
                <w:rFonts w:hint="eastAsia" w:ascii="仿宋" w:hAnsi="仿宋" w:eastAsia="仿宋" w:cs="仿宋"/>
                <w:color w:val="auto"/>
                <w:sz w:val="22"/>
                <w:szCs w:val="22"/>
              </w:rPr>
              <w:t xml:space="preserve">、面罩与死腔 配套多规格儿童口鼻面罩；管路死腔小，适配低潮气量学龄前儿童，避免死腔过大造成结果偏差。 </w:t>
            </w:r>
          </w:p>
        </w:tc>
      </w:tr>
      <w:tr w14:paraId="18727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27DDBD">
            <w:pPr>
              <w:spacing w:beforeLines="0" w:afterLines="0" w:line="360" w:lineRule="exact"/>
              <w:ind w:firstLine="0"/>
              <w:jc w:val="center"/>
              <w:rPr>
                <w:rFonts w:hint="eastAsia" w:ascii="仿宋" w:hAnsi="仿宋" w:eastAsia="仿宋" w:cs="仿宋"/>
                <w:color w:val="auto"/>
                <w:sz w:val="22"/>
                <w:szCs w:val="22"/>
              </w:rPr>
            </w:pP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7F9731">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19</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933FEA">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1</w:t>
            </w:r>
            <w:r>
              <w:rPr>
                <w:rFonts w:hint="eastAsia" w:ascii="仿宋" w:hAnsi="仿宋" w:eastAsia="仿宋" w:cs="仿宋"/>
                <w:color w:val="auto"/>
                <w:sz w:val="22"/>
                <w:szCs w:val="22"/>
                <w:lang w:val="en-US" w:eastAsia="zh-CN"/>
              </w:rPr>
              <w:t>2</w:t>
            </w:r>
            <w:r>
              <w:rPr>
                <w:rFonts w:hint="eastAsia" w:ascii="仿宋" w:hAnsi="仿宋" w:eastAsia="仿宋" w:cs="仿宋"/>
                <w:color w:val="auto"/>
                <w:sz w:val="22"/>
                <w:szCs w:val="22"/>
              </w:rPr>
              <w:t>、潮气呼吸环图形：实时显示潮气流量‑容积环、容积‑时间曲线；自动筛选有效呼吸周期，可人工编辑剔除伪迹。</w:t>
            </w:r>
          </w:p>
        </w:tc>
      </w:tr>
      <w:tr w14:paraId="568FE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FFBE8C">
            <w:pPr>
              <w:spacing w:beforeLines="0" w:afterLines="0" w:line="360" w:lineRule="exact"/>
              <w:ind w:firstLine="0"/>
              <w:jc w:val="center"/>
              <w:rPr>
                <w:rFonts w:hint="eastAsia" w:ascii="仿宋" w:hAnsi="仿宋" w:eastAsia="仿宋" w:cs="仿宋"/>
                <w:color w:val="auto"/>
                <w:sz w:val="22"/>
                <w:szCs w:val="22"/>
              </w:rPr>
            </w:pP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E8E873">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20</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6E5269">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1</w:t>
            </w:r>
            <w:r>
              <w:rPr>
                <w:rFonts w:hint="eastAsia" w:ascii="仿宋" w:hAnsi="仿宋" w:eastAsia="仿宋" w:cs="仿宋"/>
                <w:color w:val="auto"/>
                <w:sz w:val="22"/>
                <w:szCs w:val="22"/>
                <w:lang w:val="en-US" w:eastAsia="zh-CN"/>
              </w:rPr>
              <w:t>3</w:t>
            </w:r>
            <w:r>
              <w:rPr>
                <w:rFonts w:hint="eastAsia" w:ascii="仿宋" w:hAnsi="仿宋" w:eastAsia="仿宋" w:cs="仿宋"/>
                <w:color w:val="auto"/>
                <w:sz w:val="22"/>
                <w:szCs w:val="22"/>
              </w:rPr>
              <w:t>、运动激发试验检测参数：</w:t>
            </w:r>
          </w:p>
          <w:p w14:paraId="65B08BF0">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1）按病人实际肺功能情况提供运动激发剂量，自动控制运动激发的功率递增</w:t>
            </w:r>
          </w:p>
          <w:p w14:paraId="679C3284">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2）记录运动过程中的相关数据，包含但不限于心率、血压、血氧、功率和运动后的肺功能数据，判断是否阳性。</w:t>
            </w:r>
          </w:p>
        </w:tc>
      </w:tr>
      <w:tr w14:paraId="4D686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C4062C">
            <w:pPr>
              <w:spacing w:beforeLines="0" w:afterLines="0" w:line="360" w:lineRule="exact"/>
              <w:ind w:firstLine="0"/>
              <w:jc w:val="center"/>
              <w:rPr>
                <w:rFonts w:hint="eastAsia" w:ascii="仿宋" w:hAnsi="仿宋" w:eastAsia="仿宋" w:cs="仿宋"/>
                <w:color w:val="auto"/>
                <w:sz w:val="22"/>
                <w:szCs w:val="22"/>
              </w:rPr>
            </w:pP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BFAAB6">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21</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5AF053">
            <w:pPr>
              <w:numPr>
                <w:ilvl w:val="0"/>
                <w:numId w:val="0"/>
              </w:numPr>
              <w:spacing w:beforeLines="0" w:afterLines="0" w:line="400" w:lineRule="exact"/>
              <w:ind w:firstLine="0"/>
              <w:rPr>
                <w:rFonts w:hint="eastAsia" w:ascii="仿宋" w:hAnsi="仿宋" w:eastAsia="仿宋" w:cs="仿宋"/>
                <w:sz w:val="22"/>
                <w:szCs w:val="22"/>
              </w:rPr>
            </w:pPr>
            <w:r>
              <w:rPr>
                <w:rFonts w:hint="eastAsia" w:ascii="仿宋" w:hAnsi="仿宋" w:eastAsia="仿宋" w:cs="仿宋"/>
                <w:color w:val="auto"/>
                <w:sz w:val="22"/>
                <w:szCs w:val="22"/>
              </w:rPr>
              <w:t>1</w:t>
            </w:r>
            <w:r>
              <w:rPr>
                <w:rFonts w:hint="eastAsia" w:ascii="仿宋" w:hAnsi="仿宋" w:eastAsia="仿宋" w:cs="仿宋"/>
                <w:color w:val="auto"/>
                <w:sz w:val="22"/>
                <w:szCs w:val="22"/>
                <w:lang w:val="en-US" w:eastAsia="zh-CN"/>
              </w:rPr>
              <w:t>4</w:t>
            </w:r>
            <w:r>
              <w:rPr>
                <w:rFonts w:hint="eastAsia" w:ascii="仿宋" w:hAnsi="仿宋" w:eastAsia="仿宋" w:cs="仿宋"/>
                <w:color w:val="auto"/>
                <w:sz w:val="22"/>
                <w:szCs w:val="22"/>
              </w:rPr>
              <w:t>、激发</w:t>
            </w:r>
            <w:r>
              <w:rPr>
                <w:rFonts w:hint="eastAsia" w:ascii="仿宋" w:hAnsi="仿宋" w:eastAsia="仿宋" w:cs="仿宋"/>
                <w:sz w:val="22"/>
                <w:szCs w:val="22"/>
              </w:rPr>
              <w:t>试验：多种激发给药规程，能从一种或2种药物浓度产生不同的给药剂量，可精确完成各种支气管反应性检查。</w:t>
            </w:r>
          </w:p>
          <w:p w14:paraId="37373552">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舒张试验：用药前后比较。</w:t>
            </w:r>
          </w:p>
        </w:tc>
      </w:tr>
      <w:tr w14:paraId="5CD53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DD6DD4">
            <w:pPr>
              <w:spacing w:beforeLines="0" w:afterLines="0" w:line="360" w:lineRule="exact"/>
              <w:ind w:firstLine="0"/>
              <w:jc w:val="center"/>
              <w:rPr>
                <w:rFonts w:hint="eastAsia" w:ascii="仿宋" w:hAnsi="仿宋" w:eastAsia="仿宋" w:cs="仿宋"/>
                <w:color w:val="auto"/>
                <w:sz w:val="22"/>
                <w:szCs w:val="22"/>
              </w:rPr>
            </w:pP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BA75AC">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22</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01C0B3">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1</w:t>
            </w:r>
            <w:r>
              <w:rPr>
                <w:rFonts w:hint="eastAsia" w:ascii="仿宋" w:hAnsi="仿宋" w:eastAsia="仿宋" w:cs="仿宋"/>
                <w:color w:val="auto"/>
                <w:sz w:val="22"/>
                <w:szCs w:val="22"/>
                <w:lang w:val="en-US" w:eastAsia="zh-CN"/>
              </w:rPr>
              <w:t>5</w:t>
            </w:r>
            <w:r>
              <w:rPr>
                <w:rFonts w:hint="eastAsia" w:ascii="仿宋" w:hAnsi="仿宋" w:eastAsia="仿宋" w:cs="仿宋"/>
                <w:color w:val="auto"/>
                <w:sz w:val="22"/>
                <w:szCs w:val="22"/>
              </w:rPr>
              <w:t>、报告单中参数术语须同时显示中文、英文。可以word、excel、PDF等多种格式任意输出</w:t>
            </w:r>
          </w:p>
        </w:tc>
      </w:tr>
      <w:tr w14:paraId="51D76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F3B41E">
            <w:pPr>
              <w:spacing w:beforeLines="0" w:afterLines="0" w:line="360" w:lineRule="exact"/>
              <w:ind w:firstLine="0"/>
              <w:jc w:val="center"/>
              <w:rPr>
                <w:rFonts w:hint="eastAsia" w:ascii="仿宋" w:hAnsi="仿宋" w:eastAsia="仿宋" w:cs="仿宋"/>
                <w:color w:val="auto"/>
                <w:sz w:val="22"/>
                <w:szCs w:val="22"/>
              </w:rPr>
            </w:pP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E3447B">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23</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3DB3DA">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1</w:t>
            </w:r>
            <w:r>
              <w:rPr>
                <w:rFonts w:hint="eastAsia" w:ascii="仿宋" w:hAnsi="仿宋" w:eastAsia="仿宋" w:cs="仿宋"/>
                <w:color w:val="auto"/>
                <w:sz w:val="22"/>
                <w:szCs w:val="22"/>
                <w:lang w:val="en-US" w:eastAsia="zh-CN"/>
              </w:rPr>
              <w:t>6</w:t>
            </w:r>
            <w:r>
              <w:rPr>
                <w:rFonts w:hint="eastAsia" w:ascii="仿宋" w:hAnsi="仿宋" w:eastAsia="仿宋" w:cs="仿宋"/>
                <w:color w:val="auto"/>
                <w:sz w:val="22"/>
                <w:szCs w:val="22"/>
              </w:rPr>
              <w:t>、数据组合：测试软件允许操作者从不同的用力流量容积环测试曲线上分别选取最佳的吸气环和呼气环，重新组成一个最优的用力流量容积环和测试数据。</w:t>
            </w:r>
          </w:p>
        </w:tc>
      </w:tr>
      <w:tr w14:paraId="454D5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7B72AA">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w:t>
            </w: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5FE910">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24</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7C4E4D">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1</w:t>
            </w:r>
            <w:r>
              <w:rPr>
                <w:rFonts w:hint="eastAsia" w:ascii="仿宋" w:hAnsi="仿宋" w:eastAsia="仿宋" w:cs="仿宋"/>
                <w:color w:val="auto"/>
                <w:sz w:val="22"/>
                <w:szCs w:val="22"/>
                <w:lang w:val="en-US" w:eastAsia="zh-CN"/>
              </w:rPr>
              <w:t>7</w:t>
            </w:r>
            <w:r>
              <w:rPr>
                <w:rFonts w:hint="eastAsia" w:ascii="仿宋" w:hAnsi="仿宋" w:eastAsia="仿宋" w:cs="仿宋"/>
                <w:color w:val="auto"/>
                <w:sz w:val="22"/>
                <w:szCs w:val="22"/>
              </w:rPr>
              <w:t>、自动智能质量控制功能：系统软件根据每次流量容积环测试结果，能按ATS和ERS的质控要求，自动分析每条测试数据是否满足其质控要求，给出评估意见，标记出未达到质控要求部分，方便受试者后续改进。</w:t>
            </w:r>
          </w:p>
        </w:tc>
      </w:tr>
      <w:tr w14:paraId="25338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5634B9">
            <w:pPr>
              <w:spacing w:beforeLines="0" w:afterLines="0" w:line="360" w:lineRule="exact"/>
              <w:ind w:firstLine="0"/>
              <w:jc w:val="center"/>
              <w:rPr>
                <w:rFonts w:hint="eastAsia" w:ascii="仿宋" w:hAnsi="仿宋" w:eastAsia="仿宋" w:cs="仿宋"/>
                <w:color w:val="auto"/>
                <w:sz w:val="22"/>
                <w:szCs w:val="22"/>
              </w:rPr>
            </w:pP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84E817">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25</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438A25">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sz w:val="22"/>
                <w:szCs w:val="22"/>
              </w:rPr>
              <w:t>1</w:t>
            </w:r>
            <w:r>
              <w:rPr>
                <w:rFonts w:hint="eastAsia" w:ascii="仿宋" w:hAnsi="仿宋" w:eastAsia="仿宋" w:cs="仿宋"/>
                <w:sz w:val="22"/>
                <w:szCs w:val="22"/>
                <w:lang w:val="en-US" w:eastAsia="zh-CN"/>
              </w:rPr>
              <w:t>8</w:t>
            </w:r>
            <w:r>
              <w:rPr>
                <w:rFonts w:hint="eastAsia" w:ascii="仿宋" w:hAnsi="仿宋" w:eastAsia="仿宋" w:cs="仿宋"/>
                <w:sz w:val="22"/>
                <w:szCs w:val="22"/>
              </w:rPr>
              <w:t>、自动智能评估功能：可根据流量容积环的测试结果自动给出中文的诊断文字意见，内容必须包括测试质控等级、是否正常、属于哪类型的通气功能障碍已经严重程度。</w:t>
            </w:r>
          </w:p>
        </w:tc>
      </w:tr>
      <w:tr w14:paraId="31D71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232153">
            <w:pPr>
              <w:spacing w:beforeLines="0" w:afterLines="0" w:line="360" w:lineRule="exact"/>
              <w:ind w:firstLine="0"/>
              <w:jc w:val="center"/>
              <w:rPr>
                <w:rFonts w:hint="eastAsia" w:ascii="仿宋" w:hAnsi="仿宋" w:eastAsia="仿宋" w:cs="仿宋"/>
                <w:color w:val="auto"/>
                <w:sz w:val="22"/>
                <w:szCs w:val="22"/>
              </w:rPr>
            </w:pP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0C746E">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26</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92C401">
            <w:pPr>
              <w:numPr>
                <w:ilvl w:val="0"/>
                <w:numId w:val="0"/>
              </w:num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1</w:t>
            </w:r>
            <w:r>
              <w:rPr>
                <w:rFonts w:hint="eastAsia" w:ascii="仿宋" w:hAnsi="仿宋" w:eastAsia="仿宋" w:cs="仿宋"/>
                <w:color w:val="auto"/>
                <w:sz w:val="22"/>
                <w:szCs w:val="22"/>
                <w:lang w:val="en-US" w:eastAsia="zh-CN"/>
              </w:rPr>
              <w:t>9</w:t>
            </w:r>
            <w:r>
              <w:rPr>
                <w:rFonts w:hint="eastAsia" w:ascii="仿宋" w:hAnsi="仿宋" w:eastAsia="仿宋" w:cs="仿宋"/>
                <w:color w:val="auto"/>
                <w:sz w:val="22"/>
                <w:szCs w:val="22"/>
              </w:rPr>
              <w:t>、动画演示程序：流量容积环的动态图画演示程序，（吹蜡烛、吹气球等）用以帮助小孩特别是学龄前儿童配合做好流量容积环检查。</w:t>
            </w:r>
          </w:p>
        </w:tc>
      </w:tr>
      <w:tr w14:paraId="6D4180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FCB6FD">
            <w:pPr>
              <w:spacing w:beforeLines="0" w:afterLines="0" w:line="360" w:lineRule="exact"/>
              <w:ind w:firstLine="0"/>
              <w:jc w:val="center"/>
              <w:rPr>
                <w:rFonts w:hint="eastAsia" w:ascii="仿宋" w:hAnsi="仿宋" w:eastAsia="仿宋" w:cs="仿宋"/>
                <w:color w:val="auto"/>
                <w:sz w:val="22"/>
                <w:szCs w:val="22"/>
              </w:rPr>
            </w:pP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EC7054">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27</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C57FF0">
            <w:pPr>
              <w:numPr>
                <w:ilvl w:val="0"/>
                <w:numId w:val="0"/>
              </w:numPr>
              <w:spacing w:beforeLines="0" w:afterLines="0" w:line="400" w:lineRule="exact"/>
              <w:ind w:firstLine="0"/>
              <w:rPr>
                <w:rFonts w:hint="eastAsia" w:ascii="仿宋" w:hAnsi="仿宋" w:eastAsia="仿宋" w:cs="仿宋"/>
                <w:color w:val="FF0000"/>
                <w:sz w:val="22"/>
                <w:szCs w:val="22"/>
              </w:rPr>
            </w:pPr>
            <w:r>
              <w:rPr>
                <w:rFonts w:hint="eastAsia" w:ascii="仿宋" w:hAnsi="仿宋" w:eastAsia="仿宋" w:cs="仿宋"/>
                <w:color w:val="auto"/>
                <w:sz w:val="22"/>
                <w:szCs w:val="22"/>
                <w:lang w:val="en-US" w:eastAsia="zh-CN"/>
              </w:rPr>
              <w:t>20</w:t>
            </w:r>
            <w:r>
              <w:rPr>
                <w:rFonts w:hint="eastAsia" w:ascii="仿宋" w:hAnsi="仿宋" w:eastAsia="仿宋" w:cs="仿宋"/>
                <w:color w:val="auto"/>
                <w:sz w:val="22"/>
                <w:szCs w:val="22"/>
              </w:rPr>
              <w:t>、定标：标配100mL定标筒；支持容积定标+三流速定标验证；可保存质控记录台账。可消毒：传感器通路可擦拭消毒，或配备一次性呼吸通路，降低交叉感染。</w:t>
            </w:r>
          </w:p>
        </w:tc>
      </w:tr>
      <w:tr w14:paraId="536E4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75" w:hRule="atLeast"/>
        </w:trPr>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071B42">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w:t>
            </w: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0A545E">
            <w:pPr>
              <w:spacing w:beforeLines="0" w:afterLines="0" w:line="360" w:lineRule="exact"/>
              <w:ind w:firstLine="0"/>
              <w:jc w:val="center"/>
              <w:rPr>
                <w:rFonts w:hint="eastAsia" w:ascii="仿宋" w:hAnsi="仿宋" w:eastAsia="仿宋" w:cs="仿宋"/>
                <w:color w:val="auto"/>
                <w:kern w:val="0"/>
                <w:sz w:val="22"/>
                <w:szCs w:val="22"/>
                <w:lang w:bidi="ar"/>
              </w:rPr>
            </w:pPr>
            <w:r>
              <w:rPr>
                <w:rFonts w:hint="eastAsia" w:ascii="仿宋" w:hAnsi="仿宋" w:eastAsia="仿宋" w:cs="仿宋"/>
                <w:color w:val="auto"/>
                <w:kern w:val="0"/>
                <w:sz w:val="22"/>
                <w:szCs w:val="22"/>
                <w:lang w:bidi="ar"/>
              </w:rPr>
              <w:t>28</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E32018">
            <w:pPr>
              <w:spacing w:beforeLines="0" w:afterLines="0" w:line="40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2</w:t>
            </w:r>
            <w:r>
              <w:rPr>
                <w:rFonts w:hint="eastAsia" w:ascii="仿宋" w:hAnsi="仿宋" w:eastAsia="仿宋" w:cs="仿宋"/>
                <w:color w:val="auto"/>
                <w:sz w:val="22"/>
                <w:szCs w:val="22"/>
                <w:lang w:val="en-US" w:eastAsia="zh-CN"/>
              </w:rPr>
              <w:t>1</w:t>
            </w:r>
            <w:r>
              <w:rPr>
                <w:rFonts w:hint="eastAsia" w:ascii="仿宋" w:hAnsi="仿宋" w:eastAsia="仿宋" w:cs="仿宋"/>
                <w:color w:val="auto"/>
                <w:sz w:val="22"/>
                <w:szCs w:val="22"/>
              </w:rPr>
              <w:t>、软件升级服务：软件版本终身免费升级</w:t>
            </w:r>
          </w:p>
        </w:tc>
      </w:tr>
      <w:tr w14:paraId="2F6601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367" w:hRule="atLeast"/>
        </w:trPr>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2BE970">
            <w:pPr>
              <w:spacing w:beforeLines="0" w:afterLines="0" w:line="360" w:lineRule="exact"/>
              <w:ind w:firstLine="0"/>
              <w:jc w:val="center"/>
              <w:rPr>
                <w:rFonts w:hint="eastAsia" w:ascii="仿宋" w:hAnsi="仿宋" w:eastAsia="仿宋" w:cs="仿宋"/>
                <w:color w:val="auto"/>
                <w:sz w:val="22"/>
                <w:szCs w:val="22"/>
              </w:rPr>
            </w:pPr>
            <w:r>
              <w:rPr>
                <w:rFonts w:hint="eastAsia" w:ascii="仿宋" w:hAnsi="仿宋" w:eastAsia="仿宋" w:cs="仿宋"/>
                <w:color w:val="auto"/>
                <w:sz w:val="22"/>
                <w:szCs w:val="22"/>
              </w:rPr>
              <w:t>★</w:t>
            </w:r>
          </w:p>
        </w:tc>
        <w:tc>
          <w:tcPr>
            <w:tcW w:w="6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5EA677">
            <w:pPr>
              <w:widowControl/>
              <w:spacing w:beforeLines="0" w:afterLines="0"/>
              <w:ind w:firstLine="0"/>
              <w:jc w:val="center"/>
              <w:textAlignment w:val="bottom"/>
              <w:rPr>
                <w:rFonts w:hint="eastAsia" w:ascii="仿宋" w:hAnsi="仿宋" w:eastAsia="仿宋" w:cs="仿宋"/>
                <w:color w:val="auto"/>
                <w:sz w:val="22"/>
                <w:szCs w:val="22"/>
              </w:rPr>
            </w:pPr>
            <w:r>
              <w:rPr>
                <w:rFonts w:hint="eastAsia" w:ascii="仿宋" w:hAnsi="仿宋" w:eastAsia="仿宋" w:cs="仿宋"/>
                <w:color w:val="000000"/>
                <w:kern w:val="0"/>
                <w:sz w:val="22"/>
                <w:szCs w:val="22"/>
                <w:lang w:bidi="ar"/>
              </w:rPr>
              <w:t>29</w:t>
            </w:r>
          </w:p>
        </w:tc>
        <w:tc>
          <w:tcPr>
            <w:tcW w:w="6993" w:type="dxa"/>
            <w:tcBorders>
              <w:top w:val="single" w:color="auto" w:sz="6" w:space="0"/>
              <w:left w:val="single" w:color="auto" w:sz="6" w:space="0"/>
              <w:bottom w:val="single" w:color="auto" w:sz="6" w:space="0"/>
              <w:right w:val="single" w:color="auto" w:sz="6" w:space="0"/>
              <w:tl2br w:val="nil"/>
              <w:tr2bl w:val="nil"/>
            </w:tcBorders>
            <w:noWrap w:val="0"/>
            <w:vAlign w:val="top"/>
          </w:tcPr>
          <w:p w14:paraId="238DA172">
            <w:pPr>
              <w:numPr>
                <w:ilvl w:val="0"/>
                <w:numId w:val="0"/>
              </w:numPr>
              <w:spacing w:beforeLines="0" w:afterLines="0" w:line="360" w:lineRule="exact"/>
              <w:ind w:firstLine="0"/>
              <w:rPr>
                <w:rFonts w:hint="eastAsia" w:ascii="仿宋" w:hAnsi="仿宋" w:eastAsia="仿宋" w:cs="仿宋"/>
                <w:sz w:val="22"/>
                <w:szCs w:val="22"/>
              </w:rPr>
            </w:pPr>
            <w:r>
              <w:rPr>
                <w:rFonts w:hint="eastAsia" w:ascii="仿宋" w:hAnsi="仿宋" w:eastAsia="仿宋" w:cs="仿宋"/>
                <w:sz w:val="22"/>
                <w:szCs w:val="22"/>
              </w:rPr>
              <w:t>三、主要配置清单（单台）</w:t>
            </w:r>
          </w:p>
          <w:tbl>
            <w:tblPr>
              <w:tblStyle w:val="12"/>
              <w:tblW w:w="677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4575"/>
              <w:gridCol w:w="720"/>
              <w:gridCol w:w="720"/>
            </w:tblGrid>
            <w:tr w14:paraId="5CB6A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55" w:type="dxa"/>
                  <w:tcBorders>
                    <w:top w:val="single" w:color="auto" w:sz="4" w:space="0"/>
                    <w:left w:val="single" w:color="auto" w:sz="4" w:space="0"/>
                    <w:bottom w:val="single" w:color="auto" w:sz="4" w:space="0"/>
                    <w:right w:val="single" w:color="auto" w:sz="4" w:space="0"/>
                    <w:tl2br w:val="nil"/>
                    <w:tr2bl w:val="nil"/>
                  </w:tcBorders>
                  <w:noWrap w:val="0"/>
                  <w:vAlign w:val="top"/>
                </w:tcPr>
                <w:p w14:paraId="3E30047F">
                  <w:pPr>
                    <w:spacing w:beforeLines="0" w:afterLines="0"/>
                    <w:ind w:firstLine="0"/>
                    <w:jc w:val="center"/>
                    <w:rPr>
                      <w:rFonts w:hint="eastAsia" w:ascii="仿宋" w:hAnsi="仿宋" w:eastAsia="仿宋" w:cs="仿宋"/>
                      <w:b/>
                      <w:sz w:val="22"/>
                      <w:szCs w:val="22"/>
                    </w:rPr>
                  </w:pPr>
                  <w:r>
                    <w:rPr>
                      <w:rFonts w:hint="eastAsia" w:ascii="仿宋" w:hAnsi="仿宋" w:eastAsia="仿宋" w:cs="仿宋"/>
                      <w:b/>
                      <w:sz w:val="22"/>
                      <w:szCs w:val="22"/>
                    </w:rPr>
                    <w:t>序号</w:t>
                  </w:r>
                </w:p>
              </w:tc>
              <w:tc>
                <w:tcPr>
                  <w:tcW w:w="4575" w:type="dxa"/>
                  <w:tcBorders>
                    <w:top w:val="single" w:color="auto" w:sz="4" w:space="0"/>
                    <w:left w:val="single" w:color="auto" w:sz="4" w:space="0"/>
                    <w:bottom w:val="single" w:color="auto" w:sz="4" w:space="0"/>
                    <w:right w:val="single" w:color="auto" w:sz="4" w:space="0"/>
                    <w:tl2br w:val="nil"/>
                    <w:tr2bl w:val="nil"/>
                  </w:tcBorders>
                  <w:noWrap w:val="0"/>
                  <w:vAlign w:val="top"/>
                </w:tcPr>
                <w:p w14:paraId="60708110">
                  <w:pPr>
                    <w:spacing w:beforeLines="0" w:afterLines="0"/>
                    <w:ind w:firstLine="0"/>
                    <w:jc w:val="center"/>
                    <w:rPr>
                      <w:rFonts w:hint="eastAsia" w:ascii="仿宋" w:hAnsi="仿宋" w:eastAsia="仿宋" w:cs="仿宋"/>
                      <w:b/>
                      <w:sz w:val="22"/>
                      <w:szCs w:val="22"/>
                    </w:rPr>
                  </w:pPr>
                  <w:r>
                    <w:rPr>
                      <w:rFonts w:hint="eastAsia" w:ascii="仿宋" w:hAnsi="仿宋" w:eastAsia="仿宋" w:cs="仿宋"/>
                      <w:b/>
                      <w:sz w:val="22"/>
                      <w:szCs w:val="22"/>
                    </w:rPr>
                    <w:t>项目名称</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top"/>
                </w:tcPr>
                <w:p w14:paraId="1245FCBD">
                  <w:pPr>
                    <w:spacing w:beforeLines="0" w:afterLines="0"/>
                    <w:ind w:firstLine="0"/>
                    <w:jc w:val="center"/>
                    <w:rPr>
                      <w:rFonts w:hint="eastAsia" w:ascii="仿宋" w:hAnsi="仿宋" w:eastAsia="仿宋" w:cs="仿宋"/>
                      <w:b/>
                      <w:sz w:val="22"/>
                      <w:szCs w:val="22"/>
                    </w:rPr>
                  </w:pPr>
                  <w:r>
                    <w:rPr>
                      <w:rFonts w:hint="eastAsia" w:ascii="仿宋" w:hAnsi="仿宋" w:eastAsia="仿宋" w:cs="仿宋"/>
                      <w:b/>
                      <w:sz w:val="22"/>
                      <w:szCs w:val="22"/>
                    </w:rPr>
                    <w:t>单位</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top"/>
                </w:tcPr>
                <w:p w14:paraId="56FE689F">
                  <w:pPr>
                    <w:spacing w:beforeLines="0" w:afterLines="0"/>
                    <w:ind w:firstLine="0"/>
                    <w:jc w:val="center"/>
                    <w:rPr>
                      <w:rFonts w:hint="eastAsia" w:ascii="仿宋" w:hAnsi="仿宋" w:eastAsia="仿宋" w:cs="仿宋"/>
                      <w:b/>
                      <w:sz w:val="22"/>
                      <w:szCs w:val="22"/>
                    </w:rPr>
                  </w:pPr>
                  <w:r>
                    <w:rPr>
                      <w:rFonts w:hint="eastAsia" w:ascii="仿宋" w:hAnsi="仿宋" w:eastAsia="仿宋" w:cs="仿宋"/>
                      <w:b/>
                      <w:sz w:val="22"/>
                      <w:szCs w:val="22"/>
                    </w:rPr>
                    <w:t>数量</w:t>
                  </w:r>
                </w:p>
              </w:tc>
            </w:tr>
            <w:tr w14:paraId="55382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574E17">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1</w:t>
                  </w:r>
                </w:p>
              </w:tc>
              <w:tc>
                <w:tcPr>
                  <w:tcW w:w="45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5D4654">
                  <w:pPr>
                    <w:pStyle w:val="30"/>
                    <w:spacing w:beforeLines="0" w:after="0" w:afterLines="0" w:line="400" w:lineRule="exact"/>
                    <w:jc w:val="center"/>
                    <w:rPr>
                      <w:rFonts w:hint="eastAsia" w:ascii="仿宋" w:hAnsi="仿宋" w:eastAsia="仿宋" w:cs="仿宋"/>
                      <w:color w:val="auto"/>
                      <w:sz w:val="22"/>
                      <w:szCs w:val="22"/>
                      <w:lang w:eastAsia="zh-CN"/>
                    </w:rPr>
                  </w:pPr>
                  <w:r>
                    <w:rPr>
                      <w:rFonts w:hint="eastAsia" w:ascii="仿宋" w:hAnsi="仿宋" w:eastAsia="仿宋" w:cs="仿宋"/>
                      <w:sz w:val="22"/>
                      <w:szCs w:val="22"/>
                      <w:lang w:eastAsia="zh-CN"/>
                    </w:rPr>
                    <w:t>肺功能仪</w:t>
                  </w:r>
                  <w:r>
                    <w:rPr>
                      <w:rFonts w:hint="eastAsia" w:ascii="仿宋" w:hAnsi="仿宋" w:eastAsia="仿宋" w:cs="仿宋"/>
                      <w:sz w:val="22"/>
                      <w:szCs w:val="22"/>
                    </w:rPr>
                    <w:t>主机</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D7A782">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个</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E16C2A">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1</w:t>
                  </w:r>
                </w:p>
              </w:tc>
            </w:tr>
            <w:tr w14:paraId="37CBB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C28E83">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2</w:t>
                  </w:r>
                </w:p>
              </w:tc>
              <w:tc>
                <w:tcPr>
                  <w:tcW w:w="45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0CE4D7">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超声</w:t>
                  </w:r>
                  <w:r>
                    <w:rPr>
                      <w:rFonts w:hint="eastAsia" w:ascii="仿宋" w:hAnsi="仿宋" w:eastAsia="仿宋" w:cs="仿宋"/>
                      <w:sz w:val="22"/>
                      <w:szCs w:val="22"/>
                    </w:rPr>
                    <w:t>流量传感器</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5F9624">
                  <w:pPr>
                    <w:pStyle w:val="30"/>
                    <w:spacing w:beforeLines="0" w:after="0" w:afterLines="0" w:line="400" w:lineRule="exact"/>
                    <w:jc w:val="center"/>
                    <w:rPr>
                      <w:rFonts w:hint="eastAsia" w:ascii="仿宋" w:hAnsi="仿宋" w:eastAsia="仿宋" w:cs="仿宋"/>
                      <w:sz w:val="22"/>
                      <w:szCs w:val="22"/>
                    </w:rPr>
                  </w:pPr>
                  <w:r>
                    <w:rPr>
                      <w:rFonts w:hint="eastAsia" w:ascii="仿宋" w:hAnsi="仿宋" w:eastAsia="仿宋" w:cs="仿宋"/>
                      <w:sz w:val="22"/>
                      <w:szCs w:val="22"/>
                      <w:lang w:eastAsia="zh-CN"/>
                    </w:rPr>
                    <w:t>个</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6FBB0A">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1</w:t>
                  </w:r>
                </w:p>
              </w:tc>
            </w:tr>
            <w:tr w14:paraId="196B7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82C49F">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3</w:t>
                  </w:r>
                </w:p>
              </w:tc>
              <w:tc>
                <w:tcPr>
                  <w:tcW w:w="45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2099FA">
                  <w:pPr>
                    <w:pStyle w:val="30"/>
                    <w:spacing w:beforeLines="0" w:after="0" w:afterLines="0" w:line="400" w:lineRule="exact"/>
                    <w:jc w:val="center"/>
                    <w:rPr>
                      <w:rFonts w:hint="eastAsia" w:ascii="仿宋" w:hAnsi="仿宋" w:eastAsia="仿宋" w:cs="仿宋"/>
                      <w:sz w:val="22"/>
                      <w:szCs w:val="22"/>
                    </w:rPr>
                  </w:pPr>
                  <w:r>
                    <w:rPr>
                      <w:rFonts w:hint="eastAsia" w:ascii="仿宋" w:hAnsi="仿宋" w:eastAsia="仿宋" w:cs="仿宋"/>
                      <w:color w:val="auto"/>
                      <w:sz w:val="22"/>
                      <w:szCs w:val="22"/>
                      <w:lang w:eastAsia="zh-CN"/>
                    </w:rPr>
                    <w:t>医用工作站（配置屏幕</w:t>
                  </w:r>
                  <w:r>
                    <w:rPr>
                      <w:rFonts w:hint="eastAsia" w:ascii="仿宋" w:hAnsi="仿宋" w:eastAsia="仿宋" w:cs="仿宋"/>
                      <w:color w:val="auto"/>
                      <w:sz w:val="22"/>
                      <w:szCs w:val="22"/>
                      <w:lang w:val="en-US" w:eastAsia="zh-CN"/>
                    </w:rPr>
                    <w:t>≥</w:t>
                  </w:r>
                  <w:r>
                    <w:rPr>
                      <w:rFonts w:hint="eastAsia" w:ascii="仿宋" w:hAnsi="仿宋" w:eastAsia="仿宋" w:cs="仿宋"/>
                      <w:color w:val="auto"/>
                      <w:sz w:val="22"/>
                      <w:szCs w:val="22"/>
                      <w:lang w:eastAsia="zh-CN"/>
                    </w:rPr>
                    <w:t>21英寸）</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B7F1E6C">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台</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4B8C24">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1</w:t>
                  </w:r>
                </w:p>
              </w:tc>
            </w:tr>
            <w:tr w14:paraId="102CE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2D4149">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4</w:t>
                  </w:r>
                </w:p>
              </w:tc>
              <w:tc>
                <w:tcPr>
                  <w:tcW w:w="45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AAC89F">
                  <w:pPr>
                    <w:pStyle w:val="30"/>
                    <w:spacing w:beforeLines="0" w:after="0" w:afterLines="0" w:line="400" w:lineRule="exact"/>
                    <w:jc w:val="center"/>
                    <w:rPr>
                      <w:rFonts w:hint="eastAsia" w:ascii="仿宋" w:hAnsi="仿宋" w:eastAsia="仿宋" w:cs="仿宋"/>
                      <w:sz w:val="22"/>
                      <w:szCs w:val="22"/>
                    </w:rPr>
                  </w:pPr>
                  <w:r>
                    <w:rPr>
                      <w:rFonts w:hint="eastAsia" w:ascii="仿宋" w:hAnsi="仿宋" w:eastAsia="仿宋" w:cs="仿宋"/>
                      <w:sz w:val="22"/>
                      <w:szCs w:val="22"/>
                      <w:lang w:eastAsia="zh-CN"/>
                    </w:rPr>
                    <w:t xml:space="preserve"> 医用移动台车（带多角度可调悬液压臂支架）</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7650E7">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个</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61732E">
                  <w:pPr>
                    <w:pStyle w:val="30"/>
                    <w:spacing w:beforeLines="0" w:after="0" w:afterLines="0" w:line="400" w:lineRule="exact"/>
                    <w:jc w:val="center"/>
                    <w:rPr>
                      <w:rFonts w:hint="eastAsia" w:ascii="仿宋" w:hAnsi="仿宋" w:eastAsia="仿宋" w:cs="仿宋"/>
                      <w:sz w:val="22"/>
                      <w:szCs w:val="22"/>
                    </w:rPr>
                  </w:pPr>
                  <w:r>
                    <w:rPr>
                      <w:rFonts w:hint="eastAsia" w:ascii="仿宋" w:hAnsi="仿宋" w:eastAsia="仿宋" w:cs="仿宋"/>
                      <w:sz w:val="22"/>
                      <w:szCs w:val="22"/>
                      <w:lang w:eastAsia="zh-CN"/>
                    </w:rPr>
                    <w:t>1</w:t>
                  </w:r>
                </w:p>
              </w:tc>
            </w:tr>
            <w:tr w14:paraId="4FC78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531130">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5</w:t>
                  </w:r>
                </w:p>
              </w:tc>
              <w:tc>
                <w:tcPr>
                  <w:tcW w:w="45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5FF367">
                  <w:pPr>
                    <w:pStyle w:val="30"/>
                    <w:spacing w:beforeLines="0" w:after="0" w:afterLines="0" w:line="400" w:lineRule="exact"/>
                    <w:jc w:val="center"/>
                    <w:rPr>
                      <w:rFonts w:hint="eastAsia" w:ascii="仿宋" w:hAnsi="仿宋" w:eastAsia="仿宋" w:cs="仿宋"/>
                      <w:sz w:val="22"/>
                      <w:szCs w:val="22"/>
                    </w:rPr>
                  </w:pPr>
                  <w:r>
                    <w:rPr>
                      <w:rFonts w:hint="eastAsia" w:ascii="仿宋" w:hAnsi="仿宋" w:eastAsia="仿宋" w:cs="仿宋"/>
                      <w:sz w:val="22"/>
                      <w:szCs w:val="22"/>
                      <w:lang w:eastAsia="zh-CN"/>
                    </w:rPr>
                    <w:t xml:space="preserve">报告激光打印机 </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945D2F">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台</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9ACBE7">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1</w:t>
                  </w:r>
                </w:p>
              </w:tc>
            </w:tr>
            <w:tr w14:paraId="45D27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0168AA">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6</w:t>
                  </w:r>
                </w:p>
              </w:tc>
              <w:tc>
                <w:tcPr>
                  <w:tcW w:w="45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D8B713">
                  <w:pPr>
                    <w:pStyle w:val="30"/>
                    <w:spacing w:beforeLines="0" w:after="0" w:afterLines="0" w:line="400" w:lineRule="exact"/>
                    <w:jc w:val="center"/>
                    <w:rPr>
                      <w:rFonts w:hint="eastAsia" w:ascii="仿宋" w:hAnsi="仿宋" w:eastAsia="仿宋" w:cs="仿宋"/>
                      <w:sz w:val="22"/>
                      <w:szCs w:val="22"/>
                    </w:rPr>
                  </w:pPr>
                  <w:r>
                    <w:rPr>
                      <w:rFonts w:hint="eastAsia" w:ascii="仿宋" w:hAnsi="仿宋" w:eastAsia="仿宋" w:cs="仿宋"/>
                      <w:sz w:val="22"/>
                      <w:szCs w:val="22"/>
                      <w:lang w:eastAsia="zh-CN"/>
                    </w:rPr>
                    <w:t>100mL标准定标筒</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4E9CE9">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个</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AC1F42">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1</w:t>
                  </w:r>
                </w:p>
              </w:tc>
            </w:tr>
            <w:tr w14:paraId="4EC05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6F7BA7">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7</w:t>
                  </w:r>
                </w:p>
              </w:tc>
              <w:tc>
                <w:tcPr>
                  <w:tcW w:w="45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662E6A">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3L定标筒</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294A6C">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个</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EA6126">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1</w:t>
                  </w:r>
                </w:p>
              </w:tc>
            </w:tr>
            <w:tr w14:paraId="4A21C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B2C2F5">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8</w:t>
                  </w:r>
                </w:p>
              </w:tc>
              <w:tc>
                <w:tcPr>
                  <w:tcW w:w="45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FA4A6A">
                  <w:pPr>
                    <w:pStyle w:val="30"/>
                    <w:spacing w:beforeLines="0" w:after="0" w:afterLines="0" w:line="400" w:lineRule="exact"/>
                    <w:jc w:val="center"/>
                    <w:rPr>
                      <w:rFonts w:hint="eastAsia" w:ascii="仿宋" w:hAnsi="仿宋" w:eastAsia="仿宋" w:cs="仿宋"/>
                      <w:sz w:val="22"/>
                      <w:szCs w:val="22"/>
                    </w:rPr>
                  </w:pPr>
                  <w:r>
                    <w:rPr>
                      <w:rFonts w:hint="eastAsia" w:ascii="仿宋" w:hAnsi="仿宋" w:eastAsia="仿宋" w:cs="仿宋"/>
                      <w:sz w:val="22"/>
                      <w:szCs w:val="22"/>
                      <w:lang w:eastAsia="zh-CN"/>
                    </w:rPr>
                    <w:t xml:space="preserve">呼吸管路 </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8B7B48">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个</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5A32C3">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30</w:t>
                  </w:r>
                </w:p>
              </w:tc>
            </w:tr>
            <w:tr w14:paraId="6FDB3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C6A2DA">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9</w:t>
                  </w:r>
                </w:p>
              </w:tc>
              <w:tc>
                <w:tcPr>
                  <w:tcW w:w="45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F11B9B">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 xml:space="preserve"> 技术文档资料（含操作手册、维修手册等） </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6E12A8">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套</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265896">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1</w:t>
                  </w:r>
                </w:p>
              </w:tc>
            </w:tr>
            <w:tr w14:paraId="12F58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6F747B">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10</w:t>
                  </w:r>
                </w:p>
              </w:tc>
              <w:tc>
                <w:tcPr>
                  <w:tcW w:w="45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F82E38">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 xml:space="preserve">一次性小号口鼻面罩（适配体重5KG以下） </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4DEBC77">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个</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832061">
                  <w:pPr>
                    <w:pStyle w:val="30"/>
                    <w:spacing w:beforeLines="0" w:after="0" w:afterLines="0" w:line="400" w:lineRule="exact"/>
                    <w:jc w:val="center"/>
                    <w:rPr>
                      <w:rFonts w:hint="eastAsia" w:ascii="仿宋" w:hAnsi="仿宋" w:eastAsia="仿宋" w:cs="仿宋"/>
                      <w:color w:val="auto"/>
                      <w:sz w:val="22"/>
                      <w:szCs w:val="22"/>
                      <w:lang w:eastAsia="zh-CN"/>
                    </w:rPr>
                  </w:pPr>
                  <w:r>
                    <w:rPr>
                      <w:rFonts w:hint="eastAsia" w:ascii="仿宋" w:hAnsi="仿宋" w:eastAsia="仿宋" w:cs="仿宋"/>
                      <w:color w:val="auto"/>
                      <w:sz w:val="22"/>
                      <w:szCs w:val="22"/>
                      <w:lang w:eastAsia="zh-CN"/>
                    </w:rPr>
                    <w:t>50</w:t>
                  </w:r>
                </w:p>
              </w:tc>
            </w:tr>
            <w:tr w14:paraId="1A30C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07F3D5">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11</w:t>
                  </w:r>
                </w:p>
              </w:tc>
              <w:tc>
                <w:tcPr>
                  <w:tcW w:w="45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C12EDA">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rPr>
                    <w:t>一次性中号口鼻面罩</w:t>
                  </w:r>
                  <w:r>
                    <w:rPr>
                      <w:rFonts w:hint="eastAsia" w:ascii="仿宋" w:hAnsi="仿宋" w:eastAsia="仿宋" w:cs="仿宋"/>
                      <w:sz w:val="22"/>
                      <w:szCs w:val="22"/>
                      <w:lang w:eastAsia="zh-CN"/>
                    </w:rPr>
                    <w:t>（适配5-12KG婴幼儿）</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CE19EB">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个</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23F203">
                  <w:pPr>
                    <w:pStyle w:val="30"/>
                    <w:spacing w:beforeLines="0" w:after="0" w:afterLines="0" w:line="400" w:lineRule="exact"/>
                    <w:jc w:val="center"/>
                    <w:rPr>
                      <w:rFonts w:hint="eastAsia" w:ascii="仿宋" w:hAnsi="仿宋" w:eastAsia="仿宋" w:cs="仿宋"/>
                      <w:color w:val="auto"/>
                      <w:sz w:val="22"/>
                      <w:szCs w:val="22"/>
                      <w:lang w:eastAsia="zh-CN"/>
                    </w:rPr>
                  </w:pPr>
                  <w:r>
                    <w:rPr>
                      <w:rFonts w:hint="eastAsia" w:ascii="仿宋" w:hAnsi="仿宋" w:eastAsia="仿宋" w:cs="仿宋"/>
                      <w:color w:val="auto"/>
                      <w:sz w:val="22"/>
                      <w:szCs w:val="22"/>
                      <w:lang w:eastAsia="zh-CN"/>
                    </w:rPr>
                    <w:t>50</w:t>
                  </w:r>
                </w:p>
              </w:tc>
            </w:tr>
            <w:tr w14:paraId="546A9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4EAFC35">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12</w:t>
                  </w:r>
                </w:p>
              </w:tc>
              <w:tc>
                <w:tcPr>
                  <w:tcW w:w="45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33F5DA">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rPr>
                    <w:t>一次性</w:t>
                  </w:r>
                  <w:r>
                    <w:rPr>
                      <w:rFonts w:hint="eastAsia" w:ascii="仿宋" w:hAnsi="仿宋" w:eastAsia="仿宋" w:cs="仿宋"/>
                      <w:sz w:val="22"/>
                      <w:szCs w:val="22"/>
                      <w:lang w:eastAsia="zh-CN"/>
                    </w:rPr>
                    <w:t>大</w:t>
                  </w:r>
                  <w:r>
                    <w:rPr>
                      <w:rFonts w:hint="eastAsia" w:ascii="仿宋" w:hAnsi="仿宋" w:eastAsia="仿宋" w:cs="仿宋"/>
                      <w:sz w:val="22"/>
                      <w:szCs w:val="22"/>
                    </w:rPr>
                    <w:t>号口鼻面罩</w:t>
                  </w:r>
                  <w:r>
                    <w:rPr>
                      <w:rFonts w:hint="eastAsia" w:ascii="仿宋" w:hAnsi="仿宋" w:eastAsia="仿宋" w:cs="仿宋"/>
                      <w:sz w:val="22"/>
                      <w:szCs w:val="22"/>
                      <w:lang w:eastAsia="zh-CN"/>
                    </w:rPr>
                    <w:t>（适配12kg以上幼儿）</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C9EF82">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个</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229BD8">
                  <w:pPr>
                    <w:pStyle w:val="30"/>
                    <w:spacing w:beforeLines="0" w:after="0" w:afterLines="0" w:line="400" w:lineRule="exact"/>
                    <w:jc w:val="center"/>
                    <w:rPr>
                      <w:rFonts w:hint="eastAsia" w:ascii="仿宋" w:hAnsi="仿宋" w:eastAsia="仿宋" w:cs="仿宋"/>
                      <w:color w:val="auto"/>
                      <w:sz w:val="22"/>
                      <w:szCs w:val="22"/>
                      <w:lang w:eastAsia="zh-CN"/>
                    </w:rPr>
                  </w:pPr>
                  <w:r>
                    <w:rPr>
                      <w:rFonts w:hint="eastAsia" w:ascii="仿宋" w:hAnsi="仿宋" w:eastAsia="仿宋" w:cs="仿宋"/>
                      <w:color w:val="auto"/>
                      <w:sz w:val="22"/>
                      <w:szCs w:val="22"/>
                      <w:lang w:eastAsia="zh-CN"/>
                    </w:rPr>
                    <w:t>50</w:t>
                  </w:r>
                </w:p>
              </w:tc>
            </w:tr>
            <w:tr w14:paraId="4372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3221A9">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13</w:t>
                  </w:r>
                </w:p>
              </w:tc>
              <w:tc>
                <w:tcPr>
                  <w:tcW w:w="45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FBAF2D">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一次性呼吸过滤器（可配合吹气儿童使用）</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79927B">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个</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CD138B1">
                  <w:pPr>
                    <w:pStyle w:val="30"/>
                    <w:spacing w:beforeLines="0" w:after="0" w:afterLines="0" w:line="400" w:lineRule="exact"/>
                    <w:jc w:val="center"/>
                    <w:rPr>
                      <w:rFonts w:hint="eastAsia" w:ascii="仿宋" w:hAnsi="仿宋" w:eastAsia="仿宋" w:cs="仿宋"/>
                      <w:color w:val="auto"/>
                      <w:sz w:val="22"/>
                      <w:szCs w:val="22"/>
                      <w:lang w:eastAsia="zh-CN"/>
                    </w:rPr>
                  </w:pPr>
                  <w:r>
                    <w:rPr>
                      <w:rFonts w:hint="eastAsia" w:ascii="仿宋" w:hAnsi="仿宋" w:eastAsia="仿宋" w:cs="仿宋"/>
                      <w:color w:val="auto"/>
                      <w:sz w:val="22"/>
                      <w:szCs w:val="22"/>
                      <w:lang w:eastAsia="zh-CN"/>
                    </w:rPr>
                    <w:t>50</w:t>
                  </w:r>
                </w:p>
              </w:tc>
            </w:tr>
            <w:tr w14:paraId="53F2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81D55E">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14</w:t>
                  </w:r>
                </w:p>
              </w:tc>
              <w:tc>
                <w:tcPr>
                  <w:tcW w:w="45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B02D99">
                  <w:pPr>
                    <w:pStyle w:val="30"/>
                    <w:spacing w:beforeLines="0" w:after="0" w:afterLines="0" w:line="400" w:lineRule="exact"/>
                    <w:jc w:val="center"/>
                    <w:rPr>
                      <w:rFonts w:hint="eastAsia" w:ascii="仿宋" w:hAnsi="仿宋" w:eastAsia="仿宋" w:cs="仿宋"/>
                      <w:sz w:val="22"/>
                      <w:szCs w:val="22"/>
                    </w:rPr>
                  </w:pPr>
                  <w:r>
                    <w:rPr>
                      <w:rFonts w:hint="eastAsia" w:ascii="仿宋" w:hAnsi="仿宋" w:eastAsia="仿宋" w:cs="仿宋"/>
                      <w:sz w:val="22"/>
                      <w:szCs w:val="22"/>
                    </w:rPr>
                    <w:t xml:space="preserve">流量传感器 </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8EAD63">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个</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7DF680">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1</w:t>
                  </w:r>
                </w:p>
              </w:tc>
            </w:tr>
            <w:tr w14:paraId="598CA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AA75CA">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15</w:t>
                  </w:r>
                </w:p>
              </w:tc>
              <w:tc>
                <w:tcPr>
                  <w:tcW w:w="45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8B9D6E">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 xml:space="preserve">呼吸管路 （婴幼儿低死腔管路） </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71F0AC">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套</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D4297C">
                  <w:pPr>
                    <w:pStyle w:val="30"/>
                    <w:spacing w:beforeLines="0" w:after="0" w:afterLines="0" w:line="400" w:lineRule="exact"/>
                    <w:jc w:val="center"/>
                    <w:rPr>
                      <w:rFonts w:hint="eastAsia" w:ascii="仿宋" w:hAnsi="仿宋" w:eastAsia="仿宋" w:cs="仿宋"/>
                      <w:sz w:val="22"/>
                      <w:szCs w:val="22"/>
                      <w:lang w:eastAsia="zh-CN"/>
                    </w:rPr>
                  </w:pPr>
                  <w:r>
                    <w:rPr>
                      <w:rFonts w:hint="eastAsia" w:ascii="仿宋" w:hAnsi="仿宋" w:eastAsia="仿宋" w:cs="仿宋"/>
                      <w:sz w:val="22"/>
                      <w:szCs w:val="22"/>
                      <w:lang w:eastAsia="zh-CN"/>
                    </w:rPr>
                    <w:t>1</w:t>
                  </w:r>
                </w:p>
              </w:tc>
            </w:tr>
          </w:tbl>
          <w:p w14:paraId="682CD80B">
            <w:pPr>
              <w:keepNext w:val="0"/>
              <w:keepLines w:val="0"/>
              <w:pageBreakBefore w:val="0"/>
              <w:widowControl w:val="0"/>
              <w:kinsoku/>
              <w:wordWrap/>
              <w:overflowPunct/>
              <w:topLinePunct w:val="0"/>
              <w:autoSpaceDE/>
              <w:autoSpaceDN/>
              <w:bidi w:val="0"/>
              <w:adjustRightInd/>
              <w:snapToGrid/>
              <w:spacing w:beforeLines="0" w:afterLines="0" w:line="400" w:lineRule="exact"/>
              <w:ind w:firstLine="0"/>
              <w:textAlignment w:val="auto"/>
              <w:rPr>
                <w:rFonts w:hint="eastAsia" w:ascii="仿宋" w:hAnsi="仿宋" w:eastAsia="仿宋" w:cs="仿宋"/>
                <w:sz w:val="22"/>
                <w:szCs w:val="22"/>
                <w:lang w:eastAsia="zh-CN"/>
              </w:rPr>
            </w:pPr>
            <w:r>
              <w:rPr>
                <w:rFonts w:hint="eastAsia" w:ascii="仿宋" w:hAnsi="仿宋" w:eastAsia="仿宋" w:cs="仿宋"/>
                <w:sz w:val="22"/>
                <w:szCs w:val="22"/>
              </w:rPr>
              <w:t>以上技术要求不排除参数或配置遗漏的可能性，厂家或供应商应自行添加必要的配件以保证设备正常运转之需要。否则，影响验收后果自负</w:t>
            </w:r>
            <w:r>
              <w:rPr>
                <w:rFonts w:hint="eastAsia" w:ascii="仿宋" w:hAnsi="仿宋" w:eastAsia="仿宋" w:cs="仿宋"/>
                <w:sz w:val="22"/>
                <w:szCs w:val="22"/>
                <w:lang w:eastAsia="zh-CN"/>
              </w:rPr>
              <w:t>。</w:t>
            </w:r>
          </w:p>
        </w:tc>
      </w:tr>
      <w:tr w14:paraId="00336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73" w:type="dxa"/>
            <w:tcBorders>
              <w:top w:val="single" w:color="auto" w:sz="6" w:space="0"/>
              <w:left w:val="single" w:color="auto" w:sz="6" w:space="0"/>
              <w:bottom w:val="single" w:color="auto" w:sz="6" w:space="0"/>
              <w:right w:val="single" w:color="auto" w:sz="6" w:space="0"/>
              <w:tl2br w:val="nil"/>
              <w:tr2bl w:val="nil"/>
            </w:tcBorders>
            <w:noWrap w:val="0"/>
            <w:vAlign w:val="top"/>
          </w:tcPr>
          <w:p w14:paraId="1D4039CC">
            <w:pPr>
              <w:spacing w:beforeLines="0" w:afterLines="0" w:line="360" w:lineRule="exact"/>
              <w:ind w:firstLine="0"/>
              <w:rPr>
                <w:rFonts w:hint="eastAsia" w:ascii="仿宋" w:hAnsi="仿宋" w:eastAsia="仿宋" w:cs="仿宋"/>
                <w:color w:val="auto"/>
                <w:sz w:val="22"/>
                <w:szCs w:val="22"/>
              </w:rPr>
            </w:pPr>
            <w:r>
              <w:rPr>
                <w:rFonts w:hint="eastAsia" w:ascii="仿宋" w:hAnsi="仿宋" w:eastAsia="仿宋" w:cs="仿宋"/>
                <w:color w:val="auto"/>
                <w:sz w:val="22"/>
                <w:szCs w:val="22"/>
              </w:rPr>
              <w:t>说明</w:t>
            </w:r>
          </w:p>
        </w:tc>
        <w:tc>
          <w:tcPr>
            <w:tcW w:w="7666" w:type="dxa"/>
            <w:gridSpan w:val="2"/>
            <w:tcBorders>
              <w:top w:val="single" w:color="auto" w:sz="6" w:space="0"/>
              <w:left w:val="single" w:color="auto" w:sz="6" w:space="0"/>
              <w:bottom w:val="single" w:color="auto" w:sz="6" w:space="0"/>
              <w:right w:val="single" w:color="auto" w:sz="6" w:space="0"/>
              <w:tl2br w:val="nil"/>
              <w:tr2bl w:val="nil"/>
            </w:tcBorders>
            <w:noWrap w:val="0"/>
            <w:vAlign w:val="top"/>
          </w:tcPr>
          <w:p w14:paraId="5C09C036">
            <w:pPr>
              <w:spacing w:beforeLines="0" w:afterLines="0" w:line="360" w:lineRule="exact"/>
              <w:ind w:firstLine="0"/>
              <w:rPr>
                <w:rFonts w:hint="eastAsia" w:ascii="仿宋" w:hAnsi="仿宋" w:eastAsia="仿宋" w:cs="仿宋"/>
                <w:color w:val="auto"/>
                <w:sz w:val="22"/>
                <w:szCs w:val="22"/>
              </w:rPr>
            </w:pPr>
            <w:r>
              <w:rPr>
                <w:rFonts w:hint="eastAsia" w:ascii="仿宋" w:hAnsi="仿宋" w:eastAsia="仿宋" w:cs="仿宋"/>
                <w:color w:val="000000"/>
                <w:sz w:val="22"/>
                <w:szCs w:val="22"/>
              </w:rPr>
              <w:t>打“★”号条款为实质性条款，若有任何一条负偏离或不满足则导致投标无效。</w:t>
            </w:r>
            <w:r>
              <w:rPr>
                <w:rFonts w:hint="eastAsia" w:ascii="仿宋" w:hAnsi="仿宋" w:eastAsia="仿宋" w:cs="仿宋"/>
                <w:color w:val="000000"/>
                <w:sz w:val="22"/>
                <w:szCs w:val="22"/>
              </w:rPr>
              <w:br w:type="textWrapping"/>
            </w:r>
            <w:r>
              <w:rPr>
                <w:rFonts w:hint="eastAsia" w:ascii="仿宋" w:hAnsi="仿宋" w:eastAsia="仿宋" w:cs="仿宋"/>
                <w:color w:val="000000"/>
                <w:sz w:val="22"/>
                <w:szCs w:val="22"/>
              </w:rPr>
              <w:t>打“▲”号条款为重要技术参数，若有部分“▲”条款未响应或不满足，将导致其响应性评审加重扣分，但不作为无效投标条款。</w:t>
            </w:r>
          </w:p>
        </w:tc>
      </w:tr>
    </w:tbl>
    <w:p w14:paraId="2DB32041">
      <w:pPr>
        <w:pStyle w:val="2"/>
        <w:ind w:left="0" w:leftChars="0" w:firstLine="0" w:firstLineChars="0"/>
        <w:rPr>
          <w:rFonts w:hint="eastAsia" w:ascii="方正小标宋简体" w:eastAsia="方正小标宋简体"/>
          <w:sz w:val="44"/>
          <w:szCs w:val="44"/>
        </w:rPr>
      </w:pPr>
    </w:p>
    <w:p w14:paraId="413094B1">
      <w:pPr>
        <w:pStyle w:val="2"/>
        <w:ind w:left="0" w:leftChars="0" w:firstLine="0" w:firstLineChars="0"/>
        <w:rPr>
          <w:rFonts w:hint="eastAsia" w:ascii="方正小标宋简体" w:eastAsia="方正小标宋简体"/>
          <w:sz w:val="44"/>
          <w:szCs w:val="44"/>
        </w:rPr>
      </w:pPr>
    </w:p>
    <w:p w14:paraId="15312134">
      <w:pPr>
        <w:pStyle w:val="2"/>
        <w:ind w:left="0" w:leftChars="0" w:firstLine="0" w:firstLineChars="0"/>
        <w:rPr>
          <w:rFonts w:hint="eastAsia" w:ascii="方正小标宋简体" w:eastAsia="方正小标宋简体"/>
          <w:sz w:val="44"/>
          <w:szCs w:val="44"/>
        </w:rPr>
      </w:pPr>
    </w:p>
    <w:p w14:paraId="0930D591">
      <w:pPr>
        <w:pStyle w:val="2"/>
        <w:ind w:left="0" w:leftChars="0" w:firstLine="0" w:firstLineChars="0"/>
        <w:rPr>
          <w:rFonts w:hint="eastAsia" w:ascii="方正小标宋简体" w:eastAsia="方正小标宋简体"/>
          <w:sz w:val="44"/>
          <w:szCs w:val="44"/>
        </w:rPr>
      </w:pPr>
    </w:p>
    <w:p w14:paraId="6DF9D9AA">
      <w:pPr>
        <w:pStyle w:val="2"/>
        <w:ind w:left="0" w:leftChars="0" w:firstLine="0" w:firstLineChars="0"/>
        <w:rPr>
          <w:rFonts w:hint="eastAsia" w:ascii="方正小标宋简体" w:eastAsia="方正小标宋简体"/>
          <w:sz w:val="44"/>
          <w:szCs w:val="44"/>
        </w:rPr>
      </w:pPr>
    </w:p>
    <w:p w14:paraId="3996D5BB">
      <w:pPr>
        <w:pStyle w:val="2"/>
        <w:ind w:left="0" w:leftChars="0" w:firstLine="0" w:firstLineChars="0"/>
        <w:rPr>
          <w:rFonts w:hint="eastAsia" w:ascii="方正小标宋简体" w:eastAsia="方正小标宋简体"/>
          <w:sz w:val="44"/>
          <w:szCs w:val="44"/>
        </w:rPr>
      </w:pPr>
    </w:p>
    <w:p w14:paraId="07FC93CB">
      <w:pPr>
        <w:pStyle w:val="2"/>
        <w:ind w:left="0" w:leftChars="0" w:firstLine="0" w:firstLineChars="0"/>
        <w:rPr>
          <w:rFonts w:hint="eastAsia" w:ascii="方正小标宋简体" w:eastAsia="方正小标宋简体"/>
          <w:sz w:val="44"/>
          <w:szCs w:val="44"/>
        </w:rPr>
      </w:pPr>
    </w:p>
    <w:p w14:paraId="49C5159E">
      <w:pPr>
        <w:pStyle w:val="2"/>
        <w:ind w:left="0" w:leftChars="0" w:firstLine="0" w:firstLineChars="0"/>
        <w:rPr>
          <w:rFonts w:hint="eastAsia" w:ascii="方正小标宋简体" w:eastAsia="方正小标宋简体"/>
          <w:sz w:val="44"/>
          <w:szCs w:val="44"/>
        </w:rPr>
      </w:pPr>
    </w:p>
    <w:p w14:paraId="79888AE4">
      <w:pPr>
        <w:pStyle w:val="2"/>
        <w:ind w:left="0" w:leftChars="0" w:firstLine="0" w:firstLineChars="0"/>
        <w:rPr>
          <w:rFonts w:hint="eastAsia" w:ascii="方正小标宋简体" w:eastAsia="方正小标宋简体"/>
          <w:sz w:val="44"/>
          <w:szCs w:val="44"/>
        </w:rPr>
      </w:pPr>
    </w:p>
    <w:p w14:paraId="2E84A27D">
      <w:pPr>
        <w:pStyle w:val="2"/>
        <w:ind w:left="0" w:leftChars="0" w:firstLine="0" w:firstLineChars="0"/>
        <w:rPr>
          <w:rFonts w:hint="eastAsia" w:ascii="方正小标宋简体" w:eastAsia="方正小标宋简体"/>
          <w:sz w:val="44"/>
          <w:szCs w:val="44"/>
        </w:rPr>
      </w:pPr>
    </w:p>
    <w:p w14:paraId="13D8A52F">
      <w:pPr>
        <w:pStyle w:val="2"/>
        <w:ind w:left="0" w:leftChars="0" w:firstLine="0" w:firstLineChars="0"/>
        <w:rPr>
          <w:rFonts w:hint="eastAsia" w:ascii="方正小标宋简体" w:eastAsia="方正小标宋简体"/>
          <w:sz w:val="44"/>
          <w:szCs w:val="44"/>
        </w:rPr>
      </w:pPr>
    </w:p>
    <w:p w14:paraId="46EAFEF2">
      <w:pPr>
        <w:pStyle w:val="2"/>
        <w:ind w:left="0" w:leftChars="0" w:firstLine="0" w:firstLineChars="0"/>
        <w:rPr>
          <w:rFonts w:hint="eastAsia" w:ascii="方正小标宋简体" w:eastAsia="方正小标宋简体"/>
          <w:sz w:val="44"/>
          <w:szCs w:val="44"/>
        </w:rPr>
      </w:pPr>
    </w:p>
    <w:p w14:paraId="4560B0B0">
      <w:pPr>
        <w:pStyle w:val="2"/>
        <w:ind w:left="0" w:leftChars="0" w:firstLine="0" w:firstLineChars="0"/>
        <w:rPr>
          <w:rFonts w:hint="eastAsia" w:ascii="方正小标宋简体" w:eastAsia="方正小标宋简体"/>
          <w:sz w:val="44"/>
          <w:szCs w:val="44"/>
        </w:rPr>
      </w:pPr>
    </w:p>
    <w:p w14:paraId="0AFA3BCD">
      <w:pPr>
        <w:pStyle w:val="2"/>
        <w:ind w:left="0" w:leftChars="0" w:firstLine="0" w:firstLineChars="0"/>
        <w:rPr>
          <w:rFonts w:hint="eastAsia" w:ascii="方正小标宋简体" w:eastAsia="方正小标宋简体"/>
          <w:sz w:val="44"/>
          <w:szCs w:val="44"/>
        </w:rPr>
      </w:pPr>
    </w:p>
    <w:p w14:paraId="04A911AB">
      <w:pPr>
        <w:pStyle w:val="2"/>
        <w:ind w:left="0" w:leftChars="0" w:firstLine="0" w:firstLineChars="0"/>
        <w:rPr>
          <w:rFonts w:hint="eastAsia" w:ascii="方正小标宋简体" w:eastAsia="方正小标宋简体"/>
          <w:sz w:val="44"/>
          <w:szCs w:val="44"/>
        </w:rPr>
      </w:pPr>
    </w:p>
    <w:p w14:paraId="24AC7C78">
      <w:pPr>
        <w:pStyle w:val="2"/>
        <w:ind w:left="0" w:leftChars="0" w:firstLine="0" w:firstLineChars="0"/>
        <w:rPr>
          <w:rFonts w:hint="eastAsia" w:ascii="方正小标宋简体" w:eastAsia="方正小标宋简体"/>
          <w:sz w:val="44"/>
          <w:szCs w:val="44"/>
        </w:rPr>
      </w:pPr>
    </w:p>
    <w:p w14:paraId="08BEA582">
      <w:pPr>
        <w:pStyle w:val="2"/>
        <w:ind w:left="0" w:leftChars="0" w:firstLine="0" w:firstLineChars="0"/>
        <w:rPr>
          <w:rFonts w:hint="eastAsia" w:ascii="方正小标宋简体" w:eastAsia="方正小标宋简体"/>
          <w:sz w:val="44"/>
          <w:szCs w:val="44"/>
        </w:rPr>
      </w:pPr>
    </w:p>
    <w:p w14:paraId="09CCAC81">
      <w:pPr>
        <w:rPr>
          <w:rFonts w:hint="eastAsia" w:ascii="仿宋_GB2312" w:hAnsi="仿宋"/>
          <w:b/>
          <w:szCs w:val="32"/>
        </w:rPr>
      </w:pPr>
      <w:r>
        <w:rPr>
          <w:rFonts w:hint="eastAsia" w:asciiTheme="minorEastAsia" w:hAnsiTheme="minorEastAsia" w:eastAsiaTheme="minorEastAsia" w:cstheme="minorEastAsia"/>
          <w:b/>
          <w:bCs/>
          <w:lang w:eastAsia="zh-CN"/>
        </w:rPr>
        <w:t>二、</w:t>
      </w:r>
      <w:r>
        <w:rPr>
          <w:rFonts w:hint="eastAsia" w:asciiTheme="minorEastAsia" w:hAnsiTheme="minorEastAsia" w:eastAsiaTheme="minorEastAsia" w:cstheme="minorEastAsia"/>
          <w:b/>
          <w:bCs/>
          <w:szCs w:val="32"/>
        </w:rPr>
        <w:t>评审因素及对应的分值、权重：</w:t>
      </w:r>
    </w:p>
    <w:tbl>
      <w:tblPr>
        <w:tblStyle w:val="12"/>
        <w:tblpPr w:leftFromText="180" w:rightFromText="180" w:vertAnchor="text" w:horzAnchor="page" w:tblpX="1336" w:tblpY="622"/>
        <w:tblOverlap w:val="never"/>
        <w:tblW w:w="1001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53"/>
        <w:gridCol w:w="2376"/>
        <w:gridCol w:w="6789"/>
      </w:tblGrid>
      <w:tr w14:paraId="4A144E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70" w:hRule="atLeast"/>
        </w:trPr>
        <w:tc>
          <w:tcPr>
            <w:tcW w:w="853" w:type="dxa"/>
            <w:noWrap w:val="0"/>
            <w:vAlign w:val="top"/>
          </w:tcPr>
          <w:p w14:paraId="207EFC21">
            <w:pPr>
              <w:ind w:left="0" w:leftChars="0" w:firstLine="0" w:firstLineChars="0"/>
              <w:jc w:val="distribute"/>
              <w:rPr>
                <w:sz w:val="28"/>
                <w:szCs w:val="28"/>
              </w:rPr>
            </w:pPr>
            <w:r>
              <w:rPr>
                <w:sz w:val="28"/>
                <w:szCs w:val="28"/>
              </w:rPr>
              <w:t>评审因素</w:t>
            </w:r>
          </w:p>
        </w:tc>
        <w:tc>
          <w:tcPr>
            <w:tcW w:w="9165" w:type="dxa"/>
            <w:gridSpan w:val="2"/>
            <w:noWrap w:val="0"/>
            <w:vAlign w:val="top"/>
          </w:tcPr>
          <w:p w14:paraId="207A9F1E">
            <w:pPr>
              <w:jc w:val="center"/>
              <w:rPr>
                <w:sz w:val="28"/>
                <w:szCs w:val="28"/>
              </w:rPr>
            </w:pPr>
            <w:r>
              <w:rPr>
                <w:sz w:val="28"/>
                <w:szCs w:val="28"/>
              </w:rPr>
              <w:t>评审标准</w:t>
            </w:r>
          </w:p>
        </w:tc>
      </w:tr>
      <w:tr w14:paraId="32CBE8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3" w:type="dxa"/>
            <w:noWrap w:val="0"/>
            <w:vAlign w:val="top"/>
          </w:tcPr>
          <w:p w14:paraId="3EA0B3EC">
            <w:pPr>
              <w:ind w:left="0" w:leftChars="0" w:firstLine="0" w:firstLineChars="0"/>
              <w:jc w:val="distribute"/>
              <w:rPr>
                <w:sz w:val="28"/>
                <w:szCs w:val="28"/>
              </w:rPr>
            </w:pPr>
            <w:r>
              <w:rPr>
                <w:sz w:val="28"/>
                <w:szCs w:val="28"/>
              </w:rPr>
              <w:t>分值构成</w:t>
            </w:r>
          </w:p>
        </w:tc>
        <w:tc>
          <w:tcPr>
            <w:tcW w:w="9165" w:type="dxa"/>
            <w:gridSpan w:val="2"/>
            <w:noWrap w:val="0"/>
            <w:vAlign w:val="top"/>
          </w:tcPr>
          <w:p w14:paraId="40A4F381">
            <w:pPr>
              <w:ind w:left="0" w:leftChars="0" w:firstLine="0" w:firstLineChars="0"/>
              <w:rPr>
                <w:sz w:val="28"/>
                <w:szCs w:val="28"/>
              </w:rPr>
            </w:pPr>
            <w:r>
              <w:rPr>
                <w:rFonts w:hint="eastAsia"/>
                <w:sz w:val="28"/>
                <w:szCs w:val="28"/>
                <w:lang w:val="en-US" w:eastAsia="zh-CN"/>
              </w:rPr>
              <w:t>技术</w:t>
            </w:r>
            <w:r>
              <w:rPr>
                <w:sz w:val="28"/>
                <w:szCs w:val="28"/>
              </w:rPr>
              <w:t>部分</w:t>
            </w:r>
            <w:r>
              <w:rPr>
                <w:rFonts w:hint="eastAsia"/>
                <w:sz w:val="28"/>
                <w:szCs w:val="28"/>
                <w:lang w:val="en-US" w:eastAsia="zh-CN"/>
              </w:rPr>
              <w:t>61.</w:t>
            </w:r>
            <w:r>
              <w:rPr>
                <w:sz w:val="28"/>
                <w:szCs w:val="28"/>
              </w:rPr>
              <w:t>0分</w:t>
            </w:r>
          </w:p>
          <w:p w14:paraId="59624E67">
            <w:pPr>
              <w:ind w:left="0" w:leftChars="0" w:firstLine="0" w:firstLineChars="0"/>
            </w:pPr>
            <w:r>
              <w:rPr>
                <w:rFonts w:hint="eastAsia"/>
                <w:sz w:val="28"/>
                <w:szCs w:val="28"/>
                <w:lang w:val="en-US" w:eastAsia="zh-CN"/>
              </w:rPr>
              <w:t>商务</w:t>
            </w:r>
            <w:r>
              <w:rPr>
                <w:sz w:val="28"/>
                <w:szCs w:val="28"/>
              </w:rPr>
              <w:t>部分</w:t>
            </w:r>
            <w:r>
              <w:rPr>
                <w:rFonts w:hint="eastAsia"/>
                <w:sz w:val="28"/>
                <w:szCs w:val="28"/>
                <w:lang w:val="en-US" w:eastAsia="zh-CN"/>
              </w:rPr>
              <w:t>9.</w:t>
            </w:r>
            <w:r>
              <w:rPr>
                <w:sz w:val="28"/>
                <w:szCs w:val="28"/>
              </w:rPr>
              <w:t>0分</w:t>
            </w:r>
          </w:p>
          <w:p w14:paraId="3008DFE4">
            <w:pPr>
              <w:ind w:left="0" w:leftChars="0" w:firstLine="0" w:firstLineChars="0"/>
              <w:rPr>
                <w:sz w:val="28"/>
                <w:szCs w:val="28"/>
              </w:rPr>
            </w:pPr>
            <w:r>
              <w:rPr>
                <w:sz w:val="28"/>
                <w:szCs w:val="28"/>
              </w:rPr>
              <w:t>报价得分</w:t>
            </w:r>
            <w:r>
              <w:rPr>
                <w:rFonts w:hint="eastAsia"/>
                <w:sz w:val="28"/>
                <w:szCs w:val="28"/>
                <w:lang w:val="en-US" w:eastAsia="zh-CN"/>
              </w:rPr>
              <w:t>3</w:t>
            </w:r>
            <w:r>
              <w:rPr>
                <w:sz w:val="28"/>
                <w:szCs w:val="28"/>
              </w:rPr>
              <w:t>0.0分</w:t>
            </w:r>
          </w:p>
        </w:tc>
      </w:tr>
      <w:tr w14:paraId="38A3E3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3" w:type="dxa"/>
            <w:vMerge w:val="restart"/>
            <w:noWrap w:val="0"/>
            <w:vAlign w:val="top"/>
          </w:tcPr>
          <w:p w14:paraId="2B56C721">
            <w:pPr>
              <w:ind w:left="0" w:leftChars="0" w:firstLine="0" w:firstLineChars="0"/>
              <w:jc w:val="distribute"/>
              <w:rPr>
                <w:sz w:val="28"/>
                <w:szCs w:val="28"/>
              </w:rPr>
            </w:pPr>
            <w:r>
              <w:rPr>
                <w:sz w:val="28"/>
                <w:szCs w:val="28"/>
              </w:rPr>
              <w:t>技术部分</w:t>
            </w:r>
          </w:p>
        </w:tc>
        <w:tc>
          <w:tcPr>
            <w:tcW w:w="2376" w:type="dxa"/>
            <w:noWrap w:val="0"/>
            <w:vAlign w:val="top"/>
          </w:tcPr>
          <w:p w14:paraId="32390AAC">
            <w:pPr>
              <w:ind w:left="0" w:leftChars="0" w:firstLine="0" w:firstLineChars="0"/>
              <w:jc w:val="left"/>
              <w:rPr>
                <w:sz w:val="28"/>
                <w:szCs w:val="28"/>
              </w:rPr>
            </w:pPr>
            <w:r>
              <w:rPr>
                <w:sz w:val="28"/>
                <w:szCs w:val="28"/>
              </w:rPr>
              <w:t>重要技术条款响应  (</w:t>
            </w:r>
            <w:r>
              <w:rPr>
                <w:rFonts w:hint="eastAsia"/>
                <w:sz w:val="28"/>
                <w:szCs w:val="28"/>
                <w:lang w:val="en-US" w:eastAsia="zh-CN"/>
              </w:rPr>
              <w:t>24.</w:t>
            </w:r>
            <w:r>
              <w:rPr>
                <w:sz w:val="28"/>
                <w:szCs w:val="28"/>
              </w:rPr>
              <w:t>0分)</w:t>
            </w:r>
          </w:p>
        </w:tc>
        <w:tc>
          <w:tcPr>
            <w:tcW w:w="6789" w:type="dxa"/>
            <w:noWrap w:val="0"/>
            <w:vAlign w:val="top"/>
          </w:tcPr>
          <w:p w14:paraId="17DB3313">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shd w:val="clear" w:color="auto" w:fill="auto"/>
              </w:rPr>
            </w:pPr>
            <w:r>
              <w:rPr>
                <w:rFonts w:hint="eastAsia" w:ascii="仿宋" w:hAnsi="仿宋" w:eastAsia="仿宋" w:cs="仿宋"/>
                <w:color w:val="auto"/>
                <w:sz w:val="28"/>
                <w:szCs w:val="28"/>
                <w:shd w:val="clear" w:color="auto" w:fill="auto"/>
              </w:rPr>
              <w:t>重要技术条款响应（</w:t>
            </w:r>
            <w:r>
              <w:rPr>
                <w:rFonts w:hint="eastAsia" w:ascii="仿宋" w:hAnsi="仿宋" w:eastAsia="仿宋" w:cs="仿宋"/>
                <w:color w:val="auto"/>
                <w:sz w:val="28"/>
                <w:szCs w:val="28"/>
                <w:shd w:val="clear" w:color="auto" w:fill="auto"/>
                <w:lang w:val="en-US" w:eastAsia="zh-CN"/>
              </w:rPr>
              <w:t>24</w:t>
            </w:r>
            <w:r>
              <w:rPr>
                <w:rFonts w:hint="eastAsia" w:ascii="仿宋" w:hAnsi="仿宋" w:eastAsia="仿宋" w:cs="仿宋"/>
                <w:color w:val="auto"/>
                <w:sz w:val="28"/>
                <w:szCs w:val="28"/>
                <w:shd w:val="clear" w:color="auto" w:fill="auto"/>
              </w:rPr>
              <w:t>分）</w:t>
            </w:r>
            <w:r>
              <w:rPr>
                <w:rFonts w:hint="eastAsia" w:ascii="仿宋" w:hAnsi="仿宋" w:eastAsia="仿宋" w:cs="仿宋"/>
                <w:color w:val="auto"/>
                <w:sz w:val="28"/>
                <w:szCs w:val="28"/>
                <w:shd w:val="clear" w:color="auto" w:fill="auto"/>
                <w:lang w:eastAsia="zh-CN"/>
              </w:rPr>
              <w:t>：</w:t>
            </w:r>
            <w:r>
              <w:rPr>
                <w:rFonts w:hint="eastAsia" w:ascii="仿宋" w:hAnsi="仿宋" w:eastAsia="仿宋" w:cs="仿宋"/>
                <w:color w:val="auto"/>
                <w:sz w:val="28"/>
                <w:szCs w:val="28"/>
                <w:shd w:val="clear" w:color="auto" w:fill="auto"/>
              </w:rPr>
              <w:t>根据各投标人对</w:t>
            </w:r>
            <w:r>
              <w:rPr>
                <w:rFonts w:hint="eastAsia" w:ascii="仿宋" w:hAnsi="仿宋" w:eastAsia="仿宋" w:cs="仿宋"/>
                <w:color w:val="auto"/>
                <w:sz w:val="28"/>
                <w:szCs w:val="28"/>
                <w:shd w:val="clear" w:color="auto" w:fill="auto"/>
                <w:lang w:eastAsia="zh-CN"/>
              </w:rPr>
              <w:t>采购</w:t>
            </w:r>
            <w:r>
              <w:rPr>
                <w:rFonts w:hint="eastAsia" w:ascii="仿宋" w:hAnsi="仿宋" w:eastAsia="仿宋" w:cs="仿宋"/>
                <w:color w:val="auto"/>
                <w:sz w:val="28"/>
                <w:szCs w:val="28"/>
                <w:shd w:val="clear" w:color="auto" w:fill="auto"/>
              </w:rPr>
              <w:t>文件技术要求中“▲”条款（共</w:t>
            </w:r>
            <w:r>
              <w:rPr>
                <w:rFonts w:hint="eastAsia" w:ascii="仿宋" w:hAnsi="仿宋" w:eastAsia="仿宋" w:cs="仿宋"/>
                <w:color w:val="auto"/>
                <w:sz w:val="28"/>
                <w:szCs w:val="28"/>
                <w:shd w:val="clear" w:color="auto" w:fill="auto"/>
                <w:lang w:val="en-US" w:eastAsia="zh-CN"/>
              </w:rPr>
              <w:t>6</w:t>
            </w:r>
            <w:r>
              <w:rPr>
                <w:rFonts w:hint="eastAsia" w:ascii="仿宋" w:hAnsi="仿宋" w:eastAsia="仿宋" w:cs="仿宋"/>
                <w:color w:val="auto"/>
                <w:sz w:val="28"/>
                <w:szCs w:val="28"/>
                <w:shd w:val="clear" w:color="auto" w:fill="auto"/>
              </w:rPr>
              <w:t>条）的响应程度进行评分： 全部响应得</w:t>
            </w:r>
            <w:r>
              <w:rPr>
                <w:rFonts w:hint="eastAsia" w:ascii="仿宋" w:hAnsi="仿宋" w:eastAsia="仿宋" w:cs="仿宋"/>
                <w:color w:val="auto"/>
                <w:sz w:val="28"/>
                <w:szCs w:val="28"/>
                <w:shd w:val="clear" w:color="auto" w:fill="auto"/>
                <w:lang w:val="en-US" w:eastAsia="zh-CN"/>
              </w:rPr>
              <w:t>24</w:t>
            </w:r>
            <w:r>
              <w:rPr>
                <w:rFonts w:hint="eastAsia" w:ascii="仿宋" w:hAnsi="仿宋" w:eastAsia="仿宋" w:cs="仿宋"/>
                <w:color w:val="auto"/>
                <w:sz w:val="28"/>
                <w:szCs w:val="28"/>
                <w:shd w:val="clear" w:color="auto" w:fill="auto"/>
              </w:rPr>
              <w:t>分，每有一项不响应的扣</w:t>
            </w:r>
            <w:r>
              <w:rPr>
                <w:rFonts w:hint="eastAsia" w:ascii="仿宋" w:hAnsi="仿宋" w:eastAsia="仿宋" w:cs="仿宋"/>
                <w:color w:val="auto"/>
                <w:sz w:val="28"/>
                <w:szCs w:val="28"/>
                <w:shd w:val="clear" w:color="auto" w:fill="auto"/>
                <w:lang w:val="en-US" w:eastAsia="zh-CN"/>
              </w:rPr>
              <w:t>4</w:t>
            </w:r>
            <w:r>
              <w:rPr>
                <w:rFonts w:hint="eastAsia" w:ascii="仿宋" w:hAnsi="仿宋" w:eastAsia="仿宋" w:cs="仿宋"/>
                <w:color w:val="auto"/>
                <w:sz w:val="28"/>
                <w:szCs w:val="28"/>
                <w:shd w:val="clear" w:color="auto" w:fill="auto"/>
              </w:rPr>
              <w:t>分。</w:t>
            </w:r>
          </w:p>
          <w:p w14:paraId="43C3484E">
            <w:pPr>
              <w:jc w:val="left"/>
              <w:rPr>
                <w:sz w:val="28"/>
                <w:szCs w:val="28"/>
              </w:rPr>
            </w:pPr>
            <w:r>
              <w:rPr>
                <w:rFonts w:hint="eastAsia"/>
              </w:rPr>
              <w:t>【注：投标人应对标注“▲”号的重要技术条款逐条进行响应，并提供证明材料。如采购需求中有明确要求提供证明材料的，则以采购需求要求的为准；如采购需求中无明确要求证明材料的，</w:t>
            </w:r>
            <w:r>
              <w:rPr>
                <w:rFonts w:hint="eastAsia"/>
                <w:b/>
                <w:bCs/>
                <w:color w:val="auto"/>
              </w:rPr>
              <w:t>则证明材料以①</w:t>
            </w:r>
            <w:r>
              <w:rPr>
                <w:rFonts w:hint="eastAsia"/>
                <w:b/>
                <w:bCs/>
                <w:color w:val="auto"/>
                <w:lang w:eastAsia="zh-CN"/>
              </w:rPr>
              <w:t>产品说明书或</w:t>
            </w:r>
            <w:r>
              <w:rPr>
                <w:rFonts w:hint="eastAsia"/>
                <w:b/>
                <w:bCs/>
                <w:color w:val="auto"/>
              </w:rPr>
              <w:t>②投标产品彩页或</w:t>
            </w:r>
            <w:r>
              <w:rPr>
                <w:rFonts w:hint="default"/>
                <w:b/>
                <w:bCs/>
                <w:color w:val="auto"/>
              </w:rPr>
              <w:t>③</w:t>
            </w:r>
            <w:r>
              <w:rPr>
                <w:rFonts w:hint="eastAsia"/>
                <w:b/>
                <w:bCs/>
                <w:color w:val="auto"/>
              </w:rPr>
              <w:t>厂家技术白皮书（如</w:t>
            </w:r>
            <w:r>
              <w:rPr>
                <w:rFonts w:hint="eastAsia"/>
                <w:b/>
                <w:bCs/>
                <w:color w:val="auto"/>
                <w:lang w:eastAsia="zh-CN"/>
              </w:rPr>
              <w:t>上述证明材料</w:t>
            </w:r>
            <w:r>
              <w:rPr>
                <w:rFonts w:hint="eastAsia"/>
                <w:b/>
                <w:bCs/>
                <w:color w:val="auto"/>
              </w:rPr>
              <w:t>为英文版，请同时提供中文版），</w:t>
            </w:r>
            <w:r>
              <w:rPr>
                <w:rFonts w:hint="eastAsia"/>
              </w:rPr>
              <w:t>投标人需对证明材料中的技术参数响应内容所在位置进行圈记或明确标识。凡不符合上述要求的证明材料、证明材料模糊不清晰或未对证明材料中的技术参数响应内容所在位置进行圈记或明确标识，导致评审专家无法认定的，该标注“▲”号的重要技术条款将视为负偏离。】</w:t>
            </w:r>
          </w:p>
        </w:tc>
      </w:tr>
      <w:tr w14:paraId="2D279F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3" w:type="dxa"/>
            <w:vMerge w:val="continue"/>
            <w:noWrap w:val="0"/>
            <w:vAlign w:val="top"/>
          </w:tcPr>
          <w:p w14:paraId="5607215F">
            <w:pPr>
              <w:jc w:val="center"/>
              <w:rPr>
                <w:sz w:val="28"/>
                <w:szCs w:val="28"/>
              </w:rPr>
            </w:pPr>
          </w:p>
        </w:tc>
        <w:tc>
          <w:tcPr>
            <w:tcW w:w="2376" w:type="dxa"/>
            <w:noWrap w:val="0"/>
            <w:vAlign w:val="top"/>
          </w:tcPr>
          <w:p w14:paraId="108E43EB">
            <w:pPr>
              <w:ind w:left="0" w:leftChars="0" w:firstLine="0" w:firstLineChars="0"/>
              <w:jc w:val="left"/>
              <w:rPr>
                <w:sz w:val="28"/>
                <w:szCs w:val="28"/>
              </w:rPr>
            </w:pPr>
            <w:r>
              <w:rPr>
                <w:sz w:val="28"/>
                <w:szCs w:val="28"/>
              </w:rPr>
              <w:t>一般技术条款响应 (</w:t>
            </w:r>
            <w:r>
              <w:rPr>
                <w:rFonts w:hint="eastAsia"/>
                <w:sz w:val="28"/>
                <w:szCs w:val="28"/>
                <w:lang w:val="en-US" w:eastAsia="zh-CN"/>
              </w:rPr>
              <w:t>16</w:t>
            </w:r>
            <w:r>
              <w:rPr>
                <w:sz w:val="28"/>
                <w:szCs w:val="28"/>
              </w:rPr>
              <w:t>.0分)</w:t>
            </w:r>
          </w:p>
        </w:tc>
        <w:tc>
          <w:tcPr>
            <w:tcW w:w="6789" w:type="dxa"/>
            <w:noWrap w:val="0"/>
            <w:vAlign w:val="top"/>
          </w:tcPr>
          <w:p w14:paraId="20C61BB4">
            <w:pPr>
              <w:jc w:val="left"/>
              <w:rPr>
                <w:rFonts w:hint="eastAsia" w:ascii="仿宋" w:hAnsi="仿宋" w:eastAsia="仿宋" w:cs="仿宋"/>
                <w:color w:val="auto"/>
                <w:sz w:val="28"/>
                <w:szCs w:val="28"/>
                <w:shd w:val="clear" w:color="auto" w:fill="auto"/>
                <w:lang w:eastAsia="zh-CN"/>
              </w:rPr>
            </w:pPr>
            <w:r>
              <w:rPr>
                <w:rFonts w:hint="eastAsia" w:ascii="仿宋" w:hAnsi="仿宋" w:eastAsia="仿宋" w:cs="仿宋"/>
                <w:color w:val="auto"/>
                <w:sz w:val="28"/>
                <w:szCs w:val="28"/>
                <w:shd w:val="clear" w:color="auto" w:fill="auto"/>
                <w:lang w:val="en-US" w:eastAsia="zh-CN"/>
              </w:rPr>
              <w:t>一般技术条款（16分）：</w:t>
            </w:r>
            <w:r>
              <w:rPr>
                <w:rFonts w:hint="eastAsia" w:ascii="仿宋" w:hAnsi="仿宋" w:eastAsia="仿宋" w:cs="仿宋"/>
                <w:color w:val="auto"/>
                <w:sz w:val="28"/>
                <w:szCs w:val="28"/>
                <w:shd w:val="clear" w:color="auto" w:fill="auto"/>
                <w:lang w:eastAsia="zh-CN"/>
              </w:rPr>
              <w:t>根根据各投标人对采购文件技术要求中一般条款（共</w:t>
            </w:r>
            <w:r>
              <w:rPr>
                <w:rFonts w:hint="eastAsia" w:ascii="仿宋" w:hAnsi="仿宋" w:eastAsia="仿宋" w:cs="仿宋"/>
                <w:color w:val="auto"/>
                <w:sz w:val="28"/>
                <w:szCs w:val="28"/>
                <w:shd w:val="clear" w:color="auto" w:fill="auto"/>
                <w:lang w:val="en-US" w:eastAsia="zh-CN"/>
              </w:rPr>
              <w:t>16</w:t>
            </w:r>
            <w:r>
              <w:rPr>
                <w:rFonts w:hint="eastAsia" w:ascii="仿宋" w:hAnsi="仿宋" w:eastAsia="仿宋" w:cs="仿宋"/>
                <w:color w:val="auto"/>
                <w:sz w:val="28"/>
                <w:szCs w:val="28"/>
                <w:shd w:val="clear" w:color="auto" w:fill="auto"/>
                <w:lang w:eastAsia="zh-CN"/>
              </w:rPr>
              <w:t>条）的响应程度进行评分： 全部响应得</w:t>
            </w:r>
            <w:r>
              <w:rPr>
                <w:rFonts w:hint="eastAsia" w:ascii="仿宋" w:hAnsi="仿宋" w:eastAsia="仿宋" w:cs="仿宋"/>
                <w:color w:val="auto"/>
                <w:sz w:val="28"/>
                <w:szCs w:val="28"/>
                <w:shd w:val="clear" w:color="auto" w:fill="auto"/>
                <w:lang w:val="en-US" w:eastAsia="zh-CN"/>
              </w:rPr>
              <w:t>16</w:t>
            </w:r>
            <w:r>
              <w:rPr>
                <w:rFonts w:hint="eastAsia" w:ascii="仿宋" w:hAnsi="仿宋" w:eastAsia="仿宋" w:cs="仿宋"/>
                <w:color w:val="auto"/>
                <w:sz w:val="28"/>
                <w:szCs w:val="28"/>
                <w:shd w:val="clear" w:color="auto" w:fill="auto"/>
                <w:lang w:eastAsia="zh-CN"/>
              </w:rPr>
              <w:t>分，每有一项不响应的扣</w:t>
            </w:r>
            <w:r>
              <w:rPr>
                <w:rFonts w:hint="eastAsia" w:ascii="仿宋" w:hAnsi="仿宋" w:eastAsia="仿宋" w:cs="仿宋"/>
                <w:color w:val="auto"/>
                <w:sz w:val="28"/>
                <w:szCs w:val="28"/>
                <w:shd w:val="clear" w:color="auto" w:fill="auto"/>
                <w:lang w:val="en-US" w:eastAsia="zh-CN"/>
              </w:rPr>
              <w:t>1</w:t>
            </w:r>
            <w:r>
              <w:rPr>
                <w:rFonts w:hint="eastAsia" w:ascii="仿宋" w:hAnsi="仿宋" w:eastAsia="仿宋" w:cs="仿宋"/>
                <w:color w:val="auto"/>
                <w:sz w:val="28"/>
                <w:szCs w:val="28"/>
                <w:shd w:val="clear" w:color="auto" w:fill="auto"/>
                <w:lang w:eastAsia="zh-CN"/>
              </w:rPr>
              <w:t xml:space="preserve">分。 </w:t>
            </w:r>
          </w:p>
          <w:p w14:paraId="0D7B7998">
            <w:pPr>
              <w:jc w:val="left"/>
            </w:pPr>
            <w:r>
              <w:rPr>
                <w:rFonts w:hint="eastAsia" w:ascii="仿宋" w:hAnsi="仿宋" w:eastAsia="仿宋" w:cs="仿宋"/>
                <w:color w:val="auto"/>
                <w:sz w:val="28"/>
                <w:szCs w:val="28"/>
                <w:shd w:val="clear" w:color="auto" w:fill="auto"/>
              </w:rPr>
              <w:t>【注：投标人应对不带“★”号及不带“▲”号的一般技术参数逐条进行响应，并提供证明材料。如采购需求中有明确要求提供证明材料的，则以采购需求要求的为准；如采购需求中无明确要求证明材料的，</w:t>
            </w:r>
            <w:r>
              <w:rPr>
                <w:rFonts w:hint="eastAsia"/>
                <w:b/>
                <w:bCs/>
                <w:color w:val="auto"/>
              </w:rPr>
              <w:t>则证明材料以①</w:t>
            </w:r>
            <w:r>
              <w:rPr>
                <w:rFonts w:hint="eastAsia"/>
                <w:b/>
                <w:bCs/>
                <w:color w:val="auto"/>
                <w:lang w:eastAsia="zh-CN"/>
              </w:rPr>
              <w:t>产品说明书或</w:t>
            </w:r>
            <w:r>
              <w:rPr>
                <w:rFonts w:hint="eastAsia"/>
                <w:b/>
                <w:bCs/>
                <w:color w:val="auto"/>
              </w:rPr>
              <w:t>②投标产品彩页或</w:t>
            </w:r>
            <w:r>
              <w:rPr>
                <w:rFonts w:hint="default"/>
                <w:b/>
                <w:bCs/>
                <w:color w:val="auto"/>
              </w:rPr>
              <w:t>③</w:t>
            </w:r>
            <w:r>
              <w:rPr>
                <w:rFonts w:hint="eastAsia"/>
                <w:b/>
                <w:bCs/>
                <w:color w:val="auto"/>
              </w:rPr>
              <w:t>厂家技术白皮书（如</w:t>
            </w:r>
            <w:r>
              <w:rPr>
                <w:rFonts w:hint="eastAsia"/>
                <w:b/>
                <w:bCs/>
                <w:color w:val="auto"/>
                <w:lang w:eastAsia="zh-CN"/>
              </w:rPr>
              <w:t>上述证明材料</w:t>
            </w:r>
            <w:r>
              <w:rPr>
                <w:rFonts w:hint="eastAsia"/>
                <w:b/>
                <w:bCs/>
                <w:color w:val="auto"/>
              </w:rPr>
              <w:t>为英文版，请同时提供中文版）</w:t>
            </w:r>
            <w:r>
              <w:rPr>
                <w:rFonts w:hint="eastAsia" w:ascii="仿宋" w:hAnsi="仿宋" w:eastAsia="仿宋" w:cs="仿宋"/>
                <w:b/>
                <w:bCs/>
                <w:color w:val="auto"/>
                <w:sz w:val="28"/>
                <w:szCs w:val="28"/>
                <w:shd w:val="clear" w:color="auto" w:fill="auto"/>
                <w:lang w:eastAsia="zh-CN"/>
              </w:rPr>
              <w:t>，</w:t>
            </w:r>
            <w:r>
              <w:rPr>
                <w:rFonts w:hint="eastAsia" w:ascii="仿宋" w:hAnsi="仿宋" w:eastAsia="仿宋" w:cs="仿宋"/>
                <w:color w:val="auto"/>
                <w:sz w:val="28"/>
                <w:szCs w:val="28"/>
                <w:shd w:val="clear" w:color="auto" w:fill="auto"/>
              </w:rPr>
              <w:t>投标人需对证明材料中的技术参数响应内容所在位置进行圈记或明确标识。凡不符合上述要求的证明材料、证明材料模糊不清晰或未对证明材料中的技术参数响应内容所在位置进行圈记或明确标识，导致评审专家无法认定的，该不带“★”号及不带“▲”号的一般技术参数将视为负偏离。】</w:t>
            </w:r>
          </w:p>
        </w:tc>
      </w:tr>
      <w:tr w14:paraId="026C40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35" w:hRule="atLeast"/>
        </w:trPr>
        <w:tc>
          <w:tcPr>
            <w:tcW w:w="853" w:type="dxa"/>
            <w:vMerge w:val="continue"/>
            <w:noWrap w:val="0"/>
            <w:vAlign w:val="top"/>
          </w:tcPr>
          <w:p w14:paraId="3D25EA83">
            <w:pPr>
              <w:ind w:left="0" w:leftChars="0" w:firstLine="0" w:firstLineChars="0"/>
              <w:jc w:val="both"/>
              <w:rPr>
                <w:rFonts w:hint="eastAsia"/>
                <w:sz w:val="28"/>
                <w:szCs w:val="28"/>
                <w:lang w:val="en-US" w:eastAsia="zh-CN"/>
              </w:rPr>
            </w:pPr>
          </w:p>
        </w:tc>
        <w:tc>
          <w:tcPr>
            <w:tcW w:w="2376" w:type="dxa"/>
            <w:noWrap w:val="0"/>
            <w:vAlign w:val="top"/>
          </w:tcPr>
          <w:p w14:paraId="7F3FF970">
            <w:pPr>
              <w:ind w:left="0" w:leftChars="0" w:firstLine="0" w:firstLineChars="0"/>
              <w:jc w:val="left"/>
              <w:rPr>
                <w:rFonts w:hint="eastAsia" w:ascii="仿宋" w:hAnsi="仿宋" w:eastAsia="仿宋" w:cs="仿宋"/>
                <w:sz w:val="28"/>
                <w:szCs w:val="28"/>
              </w:rPr>
            </w:pPr>
            <w:r>
              <w:rPr>
                <w:rFonts w:hint="eastAsia" w:ascii="仿宋" w:hAnsi="仿宋" w:eastAsia="仿宋" w:cs="仿宋"/>
                <w:color w:val="auto"/>
                <w:sz w:val="28"/>
                <w:szCs w:val="28"/>
                <w:highlight w:val="none"/>
                <w:shd w:val="clear" w:color="auto" w:fill="auto"/>
                <w:lang w:val="en-US" w:eastAsia="zh-CN"/>
              </w:rPr>
              <w:t>质量保证方案 (9.0分)</w:t>
            </w:r>
          </w:p>
        </w:tc>
        <w:tc>
          <w:tcPr>
            <w:tcW w:w="6789" w:type="dxa"/>
            <w:noWrap w:val="0"/>
            <w:vAlign w:val="top"/>
          </w:tcPr>
          <w:p w14:paraId="4FC1523E">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根据投标人针对本项目所提供的质量保证方案，方案内容包括但不限于质保年限、质量保证目标、质量保障措施等内容、提供备品备件服务等内容进行评审：</w:t>
            </w:r>
          </w:p>
          <w:p w14:paraId="089E10E8">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1）投标人所提供的质保年限和质量保证目标、质量保障措施方案内容详细，有完整合理的部署规划，有安排人员负责响应采购人的维修要求及服务过程中的沟通，有完整可行操作的维修处理方法，对日常维修和应急情况响应及时，优于或完全满足项目要求的得9分；</w:t>
            </w:r>
          </w:p>
          <w:p w14:paraId="70E1412E">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2）投标人所提供的质保年限和质量保证目标、质量保障措施方案基本完整，部署规划基本合理，有安排人员负责响应采购人的维修要求及服务过程中的沟通，维修处理方法基本合理可行，对日常维修和应急情况响应较及时，基本满足项目要求的得6分；</w:t>
            </w:r>
          </w:p>
          <w:p w14:paraId="1D5425DB">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3）投标人只提供了简单的售后服务方案，投标人有提供质保期年限和质量保证目标、质量保障措施方案，但内容不详细，部署规划不合理，有人员响应采购人的维修要求及服务过程中的沟通，有基本的操作的维修处理方法，对日常维修和应急情况响应不及时，部分满足项目要求的得3分；</w:t>
            </w:r>
          </w:p>
          <w:p w14:paraId="6F699C0B">
            <w:pPr>
              <w:keepNext w:val="0"/>
              <w:keepLines w:val="0"/>
              <w:suppressLineNumbers w:val="0"/>
              <w:snapToGrid w:val="0"/>
              <w:spacing w:before="0" w:beforeAutospacing="0" w:after="0" w:afterAutospacing="0" w:line="276" w:lineRule="auto"/>
              <w:ind w:left="0" w:right="0"/>
              <w:rPr>
                <w:rFonts w:hint="eastAsia" w:ascii="仿宋" w:hAnsi="仿宋" w:eastAsia="仿宋" w:cs="仿宋"/>
                <w:sz w:val="28"/>
                <w:szCs w:val="28"/>
              </w:rPr>
            </w:pPr>
            <w:r>
              <w:rPr>
                <w:rFonts w:hint="eastAsia" w:ascii="仿宋" w:hAnsi="仿宋" w:eastAsia="仿宋" w:cs="仿宋"/>
                <w:color w:val="auto"/>
                <w:sz w:val="28"/>
                <w:szCs w:val="28"/>
                <w:highlight w:val="none"/>
                <w:shd w:val="clear" w:color="auto" w:fill="auto"/>
                <w:lang w:val="en-US" w:eastAsia="zh-CN"/>
              </w:rPr>
              <w:t>（4）不提供的不得分。</w:t>
            </w:r>
          </w:p>
        </w:tc>
      </w:tr>
      <w:tr w14:paraId="0B9962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41" w:hRule="atLeast"/>
        </w:trPr>
        <w:tc>
          <w:tcPr>
            <w:tcW w:w="853" w:type="dxa"/>
            <w:vMerge w:val="continue"/>
            <w:noWrap w:val="0"/>
            <w:vAlign w:val="top"/>
          </w:tcPr>
          <w:p w14:paraId="6B80ED37">
            <w:pPr>
              <w:ind w:left="0" w:leftChars="0" w:firstLine="0" w:firstLineChars="0"/>
              <w:jc w:val="both"/>
              <w:rPr>
                <w:rFonts w:hint="eastAsia"/>
                <w:sz w:val="28"/>
                <w:szCs w:val="28"/>
                <w:lang w:val="en-US" w:eastAsia="zh-CN"/>
              </w:rPr>
            </w:pPr>
          </w:p>
        </w:tc>
        <w:tc>
          <w:tcPr>
            <w:tcW w:w="2376" w:type="dxa"/>
            <w:noWrap w:val="0"/>
            <w:vAlign w:val="top"/>
          </w:tcPr>
          <w:p w14:paraId="537111EC">
            <w:pPr>
              <w:ind w:left="0" w:leftChars="0" w:firstLine="0" w:firstLineChars="0"/>
              <w:jc w:val="left"/>
              <w:rPr>
                <w:rFonts w:hint="eastAsia" w:ascii="仿宋" w:hAnsi="仿宋" w:eastAsia="仿宋" w:cs="仿宋"/>
                <w:sz w:val="28"/>
                <w:szCs w:val="28"/>
              </w:rPr>
            </w:pPr>
            <w:r>
              <w:rPr>
                <w:rFonts w:hint="eastAsia" w:ascii="仿宋" w:hAnsi="仿宋" w:eastAsia="仿宋" w:cs="仿宋"/>
                <w:color w:val="auto"/>
                <w:sz w:val="28"/>
                <w:szCs w:val="28"/>
                <w:highlight w:val="none"/>
                <w:shd w:val="clear" w:color="auto" w:fill="auto"/>
                <w:lang w:val="en-US" w:eastAsia="zh-CN"/>
              </w:rPr>
              <w:t>项目实施方案 (6.0分)</w:t>
            </w:r>
          </w:p>
        </w:tc>
        <w:tc>
          <w:tcPr>
            <w:tcW w:w="6789" w:type="dxa"/>
            <w:noWrap w:val="0"/>
            <w:vAlign w:val="top"/>
          </w:tcPr>
          <w:p w14:paraId="0F137518">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根据投标人针对本项目所提供的项目实施方案（不包括售后服务和培训方案），包括但不限于项目到货计划、项目实施计划、项目运输保障、安装调试（如计划步骤、人员安排等）等内容进行评审：</w:t>
            </w:r>
          </w:p>
          <w:p w14:paraId="0FEF0393">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（1）投标人针对本项目有明确具体的计划安排、对每个标的设备的运输过程有针对性保障手段、设备到场时的专人安装调试有明确的安排措施，优于或完全满足采购需求得6分；</w:t>
            </w:r>
          </w:p>
          <w:p w14:paraId="50E0CD27">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（2）投标人针对本项目有明确的计划安排、对设备的运输过程有基本的保障手段、设备到场时的专人安装调试有基本的安排措施，基本满足采购需求得4分；</w:t>
            </w:r>
          </w:p>
          <w:p w14:paraId="463AAB12">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（3）投标人针对本项目有简单的计划安排、对设备的运输过程有简单的保障手段、设备到场时的专人安装调试有简单的安排措施，部分满足采购需求得2分；</w:t>
            </w:r>
          </w:p>
          <w:p w14:paraId="5FE2B257">
            <w:pPr>
              <w:keepNext w:val="0"/>
              <w:keepLines w:val="0"/>
              <w:suppressLineNumbers w:val="0"/>
              <w:snapToGrid w:val="0"/>
              <w:spacing w:before="0" w:beforeAutospacing="0" w:after="0" w:afterAutospacing="0" w:line="276" w:lineRule="auto"/>
              <w:ind w:left="0" w:right="0"/>
              <w:rPr>
                <w:rFonts w:hint="eastAsia" w:ascii="仿宋" w:hAnsi="仿宋" w:eastAsia="仿宋" w:cs="仿宋"/>
                <w:sz w:val="28"/>
                <w:szCs w:val="28"/>
              </w:rPr>
            </w:pPr>
            <w:r>
              <w:rPr>
                <w:rFonts w:hint="eastAsia" w:ascii="仿宋" w:hAnsi="仿宋" w:eastAsia="仿宋" w:cs="仿宋"/>
                <w:color w:val="auto"/>
                <w:sz w:val="28"/>
                <w:szCs w:val="28"/>
                <w:highlight w:val="none"/>
                <w:shd w:val="clear" w:color="auto" w:fill="auto"/>
                <w:lang w:val="en-US" w:eastAsia="zh-CN"/>
              </w:rPr>
              <w:t>（4）不提供的不得分。</w:t>
            </w:r>
          </w:p>
        </w:tc>
      </w:tr>
      <w:tr w14:paraId="52AAB8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694" w:hRule="atLeast"/>
        </w:trPr>
        <w:tc>
          <w:tcPr>
            <w:tcW w:w="853" w:type="dxa"/>
            <w:vMerge w:val="continue"/>
            <w:noWrap w:val="0"/>
            <w:vAlign w:val="top"/>
          </w:tcPr>
          <w:p w14:paraId="77B33097">
            <w:pPr>
              <w:ind w:left="0" w:leftChars="0" w:firstLine="0" w:firstLineChars="0"/>
              <w:jc w:val="both"/>
              <w:rPr>
                <w:rFonts w:hint="eastAsia"/>
                <w:sz w:val="28"/>
                <w:szCs w:val="28"/>
                <w:lang w:val="en-US" w:eastAsia="zh-CN"/>
              </w:rPr>
            </w:pPr>
          </w:p>
        </w:tc>
        <w:tc>
          <w:tcPr>
            <w:tcW w:w="2376" w:type="dxa"/>
            <w:noWrap w:val="0"/>
            <w:vAlign w:val="top"/>
          </w:tcPr>
          <w:p w14:paraId="6D2BBB73">
            <w:pPr>
              <w:ind w:left="0" w:leftChars="0" w:firstLine="0" w:firstLineChars="0"/>
              <w:jc w:val="left"/>
              <w:rPr>
                <w:rFonts w:hint="eastAsia" w:ascii="仿宋" w:hAnsi="仿宋" w:eastAsia="仿宋" w:cs="仿宋"/>
                <w:sz w:val="28"/>
                <w:szCs w:val="28"/>
              </w:rPr>
            </w:pPr>
            <w:r>
              <w:rPr>
                <w:rFonts w:hint="eastAsia" w:ascii="仿宋" w:hAnsi="仿宋" w:eastAsia="仿宋" w:cs="仿宋"/>
                <w:color w:val="auto"/>
                <w:sz w:val="28"/>
                <w:szCs w:val="28"/>
                <w:highlight w:val="none"/>
                <w:shd w:val="clear" w:color="auto" w:fill="auto"/>
              </w:rPr>
              <w:t>培训方案 (</w:t>
            </w:r>
            <w:r>
              <w:rPr>
                <w:rFonts w:hint="eastAsia" w:ascii="仿宋" w:hAnsi="仿宋" w:eastAsia="仿宋" w:cs="仿宋"/>
                <w:color w:val="auto"/>
                <w:sz w:val="28"/>
                <w:szCs w:val="28"/>
                <w:highlight w:val="none"/>
                <w:shd w:val="clear" w:color="auto" w:fill="auto"/>
                <w:lang w:val="en-US" w:eastAsia="zh-CN"/>
              </w:rPr>
              <w:t>6</w:t>
            </w:r>
            <w:r>
              <w:rPr>
                <w:rFonts w:hint="eastAsia" w:ascii="仿宋" w:hAnsi="仿宋" w:eastAsia="仿宋" w:cs="仿宋"/>
                <w:color w:val="auto"/>
                <w:sz w:val="28"/>
                <w:szCs w:val="28"/>
                <w:highlight w:val="none"/>
                <w:shd w:val="clear" w:color="auto" w:fill="auto"/>
              </w:rPr>
              <w:t>.0分)</w:t>
            </w:r>
          </w:p>
        </w:tc>
        <w:tc>
          <w:tcPr>
            <w:tcW w:w="6789" w:type="dxa"/>
            <w:noWrap w:val="0"/>
            <w:vAlign w:val="top"/>
          </w:tcPr>
          <w:p w14:paraId="003B8103">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shd w:val="clear" w:color="auto" w:fill="auto"/>
                <w:lang w:eastAsia="zh-CN"/>
              </w:rPr>
            </w:pPr>
            <w:r>
              <w:rPr>
                <w:rFonts w:hint="eastAsia" w:ascii="仿宋" w:hAnsi="仿宋" w:eastAsia="仿宋" w:cs="仿宋"/>
                <w:color w:val="auto"/>
                <w:sz w:val="28"/>
                <w:szCs w:val="28"/>
                <w:highlight w:val="none"/>
                <w:shd w:val="clear" w:color="auto" w:fill="auto"/>
                <w:lang w:eastAsia="zh-CN"/>
              </w:rPr>
              <w:t>投标</w:t>
            </w:r>
            <w:r>
              <w:rPr>
                <w:rFonts w:hint="eastAsia" w:ascii="仿宋" w:hAnsi="仿宋" w:eastAsia="仿宋" w:cs="仿宋"/>
                <w:color w:val="auto"/>
                <w:sz w:val="28"/>
                <w:szCs w:val="28"/>
                <w:shd w:val="clear" w:color="auto" w:fill="auto"/>
                <w:lang w:eastAsia="zh-CN"/>
              </w:rPr>
              <w:t>人根据产品特点及保养事项对采购人所使用设备人员提供设备操作及操作过程中注意事项等内容进行培训：</w:t>
            </w:r>
          </w:p>
          <w:p w14:paraId="099D7C6D">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shd w:val="clear" w:color="auto" w:fill="auto"/>
                <w:lang w:eastAsia="zh-CN"/>
              </w:rPr>
            </w:pPr>
            <w:r>
              <w:rPr>
                <w:rFonts w:hint="eastAsia" w:ascii="仿宋" w:hAnsi="仿宋" w:eastAsia="仿宋" w:cs="仿宋"/>
                <w:color w:val="auto"/>
                <w:sz w:val="28"/>
                <w:szCs w:val="28"/>
                <w:shd w:val="clear" w:color="auto" w:fill="auto"/>
                <w:lang w:eastAsia="zh-CN"/>
              </w:rPr>
              <w:t>（1）投标人针对本项目为采购人提供有专人指导和简单上手的设备操作培训课程安排，有明确的课程及培训内容安排，对设备的操作过程中注意事项有详细指引，对特殊情况（如设备反复重启，操作失灵，错误操作等情况）有图文详解及完整应对培训的，得</w:t>
            </w:r>
            <w:r>
              <w:rPr>
                <w:rFonts w:hint="eastAsia" w:ascii="仿宋" w:hAnsi="仿宋" w:eastAsia="仿宋" w:cs="仿宋"/>
                <w:color w:val="auto"/>
                <w:sz w:val="28"/>
                <w:szCs w:val="28"/>
                <w:shd w:val="clear" w:color="auto" w:fill="auto"/>
                <w:lang w:val="en-US" w:eastAsia="zh-CN"/>
              </w:rPr>
              <w:t>6</w:t>
            </w:r>
            <w:r>
              <w:rPr>
                <w:rFonts w:hint="eastAsia" w:ascii="仿宋" w:hAnsi="仿宋" w:eastAsia="仿宋" w:cs="仿宋"/>
                <w:color w:val="auto"/>
                <w:sz w:val="28"/>
                <w:szCs w:val="28"/>
                <w:shd w:val="clear" w:color="auto" w:fill="auto"/>
                <w:lang w:eastAsia="zh-CN"/>
              </w:rPr>
              <w:t>分；</w:t>
            </w:r>
          </w:p>
          <w:p w14:paraId="6F1C59F5">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shd w:val="clear" w:color="auto" w:fill="auto"/>
                <w:lang w:eastAsia="zh-CN"/>
              </w:rPr>
            </w:pPr>
            <w:r>
              <w:rPr>
                <w:rFonts w:hint="eastAsia" w:ascii="仿宋" w:hAnsi="仿宋" w:eastAsia="仿宋" w:cs="仿宋"/>
                <w:color w:val="auto"/>
                <w:sz w:val="28"/>
                <w:szCs w:val="28"/>
                <w:shd w:val="clear" w:color="auto" w:fill="auto"/>
                <w:lang w:eastAsia="zh-CN"/>
              </w:rPr>
              <w:t>（2）投标人针对本项目为采购人提供有专人指导和简单上手的设备操作培训课程安排，有简单的课程及培训内容安排，对设备的操作过程中注意事项有基本操作指引，得</w:t>
            </w:r>
            <w:r>
              <w:rPr>
                <w:rFonts w:hint="eastAsia" w:ascii="仿宋" w:hAnsi="仿宋" w:eastAsia="仿宋" w:cs="仿宋"/>
                <w:color w:val="auto"/>
                <w:sz w:val="28"/>
                <w:szCs w:val="28"/>
                <w:shd w:val="clear" w:color="auto" w:fill="auto"/>
                <w:lang w:val="en-US" w:eastAsia="zh-CN"/>
              </w:rPr>
              <w:t>4</w:t>
            </w:r>
            <w:r>
              <w:rPr>
                <w:rFonts w:hint="eastAsia" w:ascii="仿宋" w:hAnsi="仿宋" w:eastAsia="仿宋" w:cs="仿宋"/>
                <w:color w:val="auto"/>
                <w:sz w:val="28"/>
                <w:szCs w:val="28"/>
                <w:shd w:val="clear" w:color="auto" w:fill="auto"/>
                <w:lang w:eastAsia="zh-CN"/>
              </w:rPr>
              <w:t>分；</w:t>
            </w:r>
          </w:p>
          <w:p w14:paraId="2D98EA6F">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shd w:val="clear" w:color="auto" w:fill="auto"/>
                <w:lang w:eastAsia="zh-CN"/>
              </w:rPr>
            </w:pPr>
            <w:r>
              <w:rPr>
                <w:rFonts w:hint="eastAsia" w:ascii="仿宋" w:hAnsi="仿宋" w:eastAsia="仿宋" w:cs="仿宋"/>
                <w:color w:val="auto"/>
                <w:sz w:val="28"/>
                <w:szCs w:val="28"/>
                <w:shd w:val="clear" w:color="auto" w:fill="auto"/>
                <w:lang w:eastAsia="zh-CN"/>
              </w:rPr>
              <w:t>（3）投标人提供指导和培训课程安排简单含糊，课程及培训内容安排不明确，对操作培训含糊其辞，得</w:t>
            </w:r>
            <w:r>
              <w:rPr>
                <w:rFonts w:hint="eastAsia" w:ascii="仿宋" w:hAnsi="仿宋" w:eastAsia="仿宋" w:cs="仿宋"/>
                <w:color w:val="auto"/>
                <w:sz w:val="28"/>
                <w:szCs w:val="28"/>
                <w:shd w:val="clear" w:color="auto" w:fill="auto"/>
                <w:lang w:val="en-US" w:eastAsia="zh-CN"/>
              </w:rPr>
              <w:t>2</w:t>
            </w:r>
            <w:r>
              <w:rPr>
                <w:rFonts w:hint="eastAsia" w:ascii="仿宋" w:hAnsi="仿宋" w:eastAsia="仿宋" w:cs="仿宋"/>
                <w:color w:val="auto"/>
                <w:sz w:val="28"/>
                <w:szCs w:val="28"/>
                <w:shd w:val="clear" w:color="auto" w:fill="auto"/>
                <w:lang w:eastAsia="zh-CN"/>
              </w:rPr>
              <w:t xml:space="preserve">分； </w:t>
            </w:r>
          </w:p>
          <w:p w14:paraId="57A81818">
            <w:pPr>
              <w:keepNext w:val="0"/>
              <w:keepLines w:val="0"/>
              <w:suppressLineNumbers w:val="0"/>
              <w:snapToGrid w:val="0"/>
              <w:spacing w:before="0" w:beforeAutospacing="0" w:after="0" w:afterAutospacing="0" w:line="276" w:lineRule="auto"/>
              <w:ind w:left="0" w:right="0"/>
              <w:rPr>
                <w:rFonts w:hint="eastAsia" w:ascii="仿宋" w:hAnsi="仿宋" w:eastAsia="仿宋" w:cs="仿宋"/>
                <w:sz w:val="28"/>
                <w:szCs w:val="28"/>
              </w:rPr>
            </w:pPr>
            <w:r>
              <w:rPr>
                <w:rFonts w:hint="eastAsia" w:ascii="仿宋" w:hAnsi="仿宋" w:eastAsia="仿宋" w:cs="仿宋"/>
                <w:color w:val="auto"/>
                <w:sz w:val="28"/>
                <w:szCs w:val="28"/>
                <w:shd w:val="clear" w:color="auto" w:fill="auto"/>
                <w:lang w:eastAsia="zh-CN"/>
              </w:rPr>
              <w:t>（4）不提供的不得分。</w:t>
            </w:r>
          </w:p>
        </w:tc>
      </w:tr>
      <w:tr w14:paraId="2CDD2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53" w:hRule="atLeast"/>
        </w:trPr>
        <w:tc>
          <w:tcPr>
            <w:tcW w:w="853" w:type="dxa"/>
            <w:vMerge w:val="restart"/>
            <w:noWrap w:val="0"/>
            <w:vAlign w:val="top"/>
          </w:tcPr>
          <w:p w14:paraId="252B45C0">
            <w:pPr>
              <w:ind w:left="0" w:leftChars="0" w:firstLine="0" w:firstLineChars="0"/>
              <w:jc w:val="distribute"/>
              <w:rPr>
                <w:rFonts w:hint="eastAsia" w:ascii="仿宋" w:hAnsi="仿宋" w:eastAsia="仿宋" w:cs="仿宋"/>
                <w:sz w:val="28"/>
                <w:szCs w:val="28"/>
                <w:lang w:eastAsia="zh-CN"/>
              </w:rPr>
            </w:pPr>
            <w:r>
              <w:rPr>
                <w:rFonts w:hint="eastAsia" w:ascii="仿宋" w:hAnsi="仿宋" w:eastAsia="仿宋" w:cs="仿宋"/>
                <w:sz w:val="28"/>
                <w:szCs w:val="28"/>
                <w:lang w:eastAsia="zh-CN"/>
              </w:rPr>
              <w:t>商务部分</w:t>
            </w:r>
          </w:p>
        </w:tc>
        <w:tc>
          <w:tcPr>
            <w:tcW w:w="2376" w:type="dxa"/>
            <w:noWrap w:val="0"/>
            <w:vAlign w:val="top"/>
          </w:tcPr>
          <w:p w14:paraId="7E3669DC">
            <w:pPr>
              <w:ind w:left="0" w:leftChars="0" w:firstLine="0" w:firstLineChars="0"/>
              <w:jc w:val="left"/>
              <w:rPr>
                <w:rFonts w:hint="eastAsia" w:ascii="仿宋" w:hAnsi="仿宋" w:eastAsia="仿宋" w:cs="仿宋"/>
                <w:kern w:val="2"/>
                <w:sz w:val="28"/>
                <w:szCs w:val="28"/>
                <w:lang w:val="en-US" w:eastAsia="zh-CN" w:bidi="ar-SA"/>
              </w:rPr>
            </w:pPr>
            <w:r>
              <w:rPr>
                <w:rFonts w:hint="eastAsia" w:ascii="仿宋" w:hAnsi="仿宋" w:eastAsia="仿宋" w:cs="仿宋"/>
                <w:color w:val="auto"/>
                <w:sz w:val="28"/>
                <w:szCs w:val="28"/>
                <w:shd w:val="clear" w:color="auto" w:fill="auto"/>
                <w:lang w:val="en-US" w:eastAsia="zh-CN"/>
              </w:rPr>
              <w:t>投标人的信用、体系认证情况（2.0分）</w:t>
            </w:r>
          </w:p>
        </w:tc>
        <w:tc>
          <w:tcPr>
            <w:tcW w:w="6789" w:type="dxa"/>
            <w:noWrap w:val="0"/>
            <w:vAlign w:val="center"/>
          </w:tcPr>
          <w:p w14:paraId="4F1068FB">
            <w:pPr>
              <w:keepNext w:val="0"/>
              <w:keepLines w:val="0"/>
              <w:suppressLineNumbers w:val="0"/>
              <w:snapToGrid w:val="0"/>
              <w:spacing w:before="0" w:beforeAutospacing="0" w:after="0" w:afterAutospacing="0" w:line="276" w:lineRule="auto"/>
              <w:ind w:left="0" w:right="0"/>
              <w:jc w:val="center"/>
              <w:rPr>
                <w:rFonts w:hint="eastAsia" w:ascii="仿宋" w:hAnsi="仿宋" w:eastAsia="仿宋" w:cs="仿宋"/>
                <w:kern w:val="2"/>
                <w:sz w:val="28"/>
                <w:szCs w:val="28"/>
                <w:lang w:val="en-US" w:eastAsia="zh-CN" w:bidi="ar-SA"/>
              </w:rPr>
            </w:pPr>
            <w:r>
              <w:rPr>
                <w:rFonts w:hint="eastAsia" w:ascii="仿宋" w:hAnsi="仿宋" w:eastAsia="仿宋" w:cs="仿宋"/>
                <w:color w:val="auto"/>
                <w:sz w:val="28"/>
                <w:szCs w:val="28"/>
                <w:shd w:val="clear" w:color="auto" w:fill="auto"/>
              </w:rPr>
              <w:t>投标人具有有效期内的有效的质量管理体系认证证书。提供认证证书扫描件得</w:t>
            </w:r>
            <w:r>
              <w:rPr>
                <w:rFonts w:hint="eastAsia" w:ascii="仿宋" w:hAnsi="仿宋" w:eastAsia="仿宋" w:cs="仿宋"/>
                <w:color w:val="auto"/>
                <w:sz w:val="28"/>
                <w:szCs w:val="28"/>
                <w:shd w:val="clear" w:color="auto" w:fill="auto"/>
                <w:lang w:val="en-US" w:eastAsia="zh-CN"/>
              </w:rPr>
              <w:t>2</w:t>
            </w:r>
            <w:r>
              <w:rPr>
                <w:rFonts w:hint="eastAsia" w:ascii="仿宋" w:hAnsi="仿宋" w:eastAsia="仿宋" w:cs="仿宋"/>
                <w:color w:val="auto"/>
                <w:sz w:val="28"/>
                <w:szCs w:val="28"/>
                <w:shd w:val="clear" w:color="auto" w:fill="auto"/>
              </w:rPr>
              <w:t>分，不提供不得分。</w:t>
            </w:r>
          </w:p>
        </w:tc>
      </w:tr>
      <w:tr w14:paraId="532D72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3" w:type="dxa"/>
            <w:vMerge w:val="continue"/>
            <w:noWrap w:val="0"/>
            <w:vAlign w:val="top"/>
          </w:tcPr>
          <w:p w14:paraId="21DA4567">
            <w:pPr>
              <w:rPr>
                <w:sz w:val="28"/>
                <w:szCs w:val="28"/>
              </w:rPr>
            </w:pPr>
          </w:p>
        </w:tc>
        <w:tc>
          <w:tcPr>
            <w:tcW w:w="2376" w:type="dxa"/>
            <w:noWrap w:val="0"/>
            <w:vAlign w:val="top"/>
          </w:tcPr>
          <w:p w14:paraId="267D8F1A">
            <w:pPr>
              <w:ind w:left="0" w:leftChars="0" w:firstLine="0" w:firstLineChars="0"/>
              <w:jc w:val="left"/>
              <w:rPr>
                <w:rFonts w:hint="eastAsia" w:ascii="仿宋" w:hAnsi="仿宋" w:eastAsia="仿宋" w:cs="仿宋"/>
                <w:sz w:val="28"/>
                <w:szCs w:val="28"/>
              </w:rPr>
            </w:pPr>
            <w:r>
              <w:rPr>
                <w:rFonts w:hint="eastAsia" w:ascii="仿宋" w:hAnsi="仿宋" w:eastAsia="仿宋" w:cs="仿宋"/>
                <w:sz w:val="28"/>
                <w:szCs w:val="28"/>
              </w:rPr>
              <w:t>同类项目</w:t>
            </w:r>
            <w:r>
              <w:rPr>
                <w:rFonts w:hint="eastAsia" w:ascii="仿宋" w:hAnsi="仿宋" w:eastAsia="仿宋" w:cs="仿宋"/>
                <w:sz w:val="28"/>
                <w:szCs w:val="28"/>
                <w:lang w:val="en-US" w:eastAsia="zh-CN"/>
              </w:rPr>
              <w:t>业绩</w:t>
            </w:r>
            <w:r>
              <w:rPr>
                <w:rFonts w:hint="eastAsia" w:ascii="仿宋" w:hAnsi="仿宋" w:eastAsia="仿宋" w:cs="仿宋"/>
                <w:sz w:val="28"/>
                <w:szCs w:val="28"/>
              </w:rPr>
              <w:t>情况 (</w:t>
            </w:r>
            <w:r>
              <w:rPr>
                <w:rFonts w:hint="eastAsia" w:ascii="仿宋" w:hAnsi="仿宋" w:eastAsia="仿宋" w:cs="仿宋"/>
                <w:sz w:val="28"/>
                <w:szCs w:val="28"/>
                <w:lang w:val="en-US" w:eastAsia="zh-CN"/>
              </w:rPr>
              <w:t>6.0</w:t>
            </w:r>
            <w:r>
              <w:rPr>
                <w:rFonts w:hint="eastAsia" w:ascii="仿宋" w:hAnsi="仿宋" w:eastAsia="仿宋" w:cs="仿宋"/>
                <w:sz w:val="28"/>
                <w:szCs w:val="28"/>
              </w:rPr>
              <w:t>分)</w:t>
            </w:r>
          </w:p>
        </w:tc>
        <w:tc>
          <w:tcPr>
            <w:tcW w:w="6789" w:type="dxa"/>
            <w:noWrap w:val="0"/>
            <w:vAlign w:val="top"/>
          </w:tcPr>
          <w:p w14:paraId="215EC924">
            <w:pPr>
              <w:keepNext w:val="0"/>
              <w:keepLines w:val="0"/>
              <w:suppressLineNumbers w:val="0"/>
              <w:snapToGrid w:val="0"/>
              <w:spacing w:before="0" w:beforeAutospacing="0" w:after="0" w:afterAutospacing="0" w:line="276" w:lineRule="auto"/>
              <w:ind w:left="0" w:right="0"/>
              <w:rPr>
                <w:rFonts w:hint="eastAsia" w:ascii="仿宋" w:hAnsi="仿宋" w:eastAsia="仿宋" w:cs="仿宋"/>
                <w:sz w:val="28"/>
                <w:szCs w:val="28"/>
              </w:rPr>
            </w:pPr>
            <w:r>
              <w:rPr>
                <w:rFonts w:hint="eastAsia" w:ascii="仿宋" w:hAnsi="仿宋" w:eastAsia="仿宋" w:cs="仿宋"/>
                <w:color w:val="auto"/>
                <w:sz w:val="28"/>
                <w:szCs w:val="28"/>
                <w:shd w:val="clear" w:color="auto" w:fill="auto"/>
                <w:lang w:val="en-US" w:eastAsia="zh-CN"/>
              </w:rPr>
              <w:t>投标人同类儿童心肺功能仪设备供货业绩的评审：2023年1月1日至今投标人具有同类设备供货项目业绩，每提供1个业绩，得2.0分，最高得6.0分 (提供合同复印件</w:t>
            </w:r>
            <w:r>
              <w:rPr>
                <w:rFonts w:hint="eastAsia"/>
                <w:lang w:val="en-US" w:eastAsia="zh-CN"/>
              </w:rPr>
              <w:t>和发票</w:t>
            </w:r>
            <w:r>
              <w:rPr>
                <w:rFonts w:hint="eastAsia" w:ascii="仿宋" w:hAnsi="仿宋" w:eastAsia="仿宋" w:cs="仿宋"/>
                <w:color w:val="auto"/>
                <w:sz w:val="28"/>
                <w:szCs w:val="28"/>
                <w:shd w:val="clear" w:color="auto" w:fill="auto"/>
                <w:lang w:val="en-US" w:eastAsia="zh-CN"/>
              </w:rPr>
              <w:t>，以签订合同的时间为准，不提供不得分）</w:t>
            </w:r>
          </w:p>
        </w:tc>
      </w:tr>
      <w:tr w14:paraId="1B3182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3" w:type="dxa"/>
            <w:vMerge w:val="continue"/>
            <w:noWrap w:val="0"/>
            <w:vAlign w:val="top"/>
          </w:tcPr>
          <w:p w14:paraId="65D95E25">
            <w:pPr>
              <w:rPr>
                <w:sz w:val="28"/>
                <w:szCs w:val="28"/>
              </w:rPr>
            </w:pPr>
          </w:p>
        </w:tc>
        <w:tc>
          <w:tcPr>
            <w:tcW w:w="2376" w:type="dxa"/>
            <w:noWrap w:val="0"/>
            <w:vAlign w:val="top"/>
          </w:tcPr>
          <w:p w14:paraId="2C92BBAA">
            <w:pPr>
              <w:pStyle w:val="30"/>
              <w:jc w:val="left"/>
              <w:rPr>
                <w:rFonts w:hint="eastAsia" w:ascii="仿宋" w:hAnsi="仿宋" w:eastAsia="仿宋" w:cs="仿宋"/>
                <w:sz w:val="28"/>
                <w:szCs w:val="28"/>
              </w:rPr>
            </w:pPr>
            <w:r>
              <w:rPr>
                <w:rFonts w:hint="eastAsia" w:ascii="仿宋" w:hAnsi="仿宋" w:eastAsia="仿宋" w:cs="仿宋"/>
                <w:sz w:val="28"/>
                <w:szCs w:val="28"/>
              </w:rPr>
              <w:t xml:space="preserve">产品授权证明 </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rPr>
              <w:t>.0分)</w:t>
            </w:r>
          </w:p>
        </w:tc>
        <w:tc>
          <w:tcPr>
            <w:tcW w:w="6789" w:type="dxa"/>
            <w:noWrap w:val="0"/>
            <w:vAlign w:val="top"/>
          </w:tcPr>
          <w:p w14:paraId="42045C35">
            <w:pPr>
              <w:pStyle w:val="30"/>
              <w:keepNext w:val="0"/>
              <w:keepLines w:val="0"/>
              <w:pageBreakBefore w:val="0"/>
              <w:widowControl/>
              <w:kinsoku/>
              <w:wordWrap/>
              <w:overflowPunct/>
              <w:topLinePunct w:val="0"/>
              <w:autoSpaceDE/>
              <w:autoSpaceDN/>
              <w:bidi w:val="0"/>
              <w:adjustRightInd/>
              <w:snapToGrid/>
              <w:spacing w:line="440" w:lineRule="exact"/>
              <w:ind w:firstLine="574" w:firstLineChars="200"/>
              <w:jc w:val="both"/>
              <w:textAlignment w:val="auto"/>
              <w:rPr>
                <w:rFonts w:hint="default" w:ascii="仿宋" w:hAnsi="仿宋" w:eastAsia="仿宋" w:cs="仿宋"/>
                <w:sz w:val="28"/>
                <w:szCs w:val="28"/>
                <w:lang w:val="en-US" w:eastAsia="zh-CN"/>
              </w:rPr>
            </w:pPr>
            <w:r>
              <w:rPr>
                <w:rFonts w:hint="eastAsia" w:ascii="仿宋" w:hAnsi="仿宋" w:eastAsia="仿宋" w:cs="仿宋"/>
                <w:color w:val="auto"/>
                <w:kern w:val="2"/>
                <w:sz w:val="28"/>
                <w:szCs w:val="28"/>
                <w:shd w:val="clear" w:color="auto" w:fill="auto"/>
                <w:lang w:val="en-US" w:eastAsia="zh-CN" w:bidi="ar-SA"/>
              </w:rPr>
              <w:t>为了保证核心产品具有追溯性且保证质量，投标人为代理商投标响应的，提供生产企业出具的有效授权证明，得1分，若投标人为生产企业投标的（需提供相关证明文件）也得1分，其他不得分。</w:t>
            </w:r>
          </w:p>
        </w:tc>
      </w:tr>
      <w:tr w14:paraId="0E06B8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3" w:type="dxa"/>
            <w:noWrap w:val="0"/>
            <w:vAlign w:val="top"/>
          </w:tcPr>
          <w:p w14:paraId="09E7581B">
            <w:pPr>
              <w:ind w:left="0" w:leftChars="0" w:firstLine="0" w:firstLineChars="0"/>
              <w:jc w:val="distribute"/>
              <w:rPr>
                <w:sz w:val="28"/>
                <w:szCs w:val="28"/>
              </w:rPr>
            </w:pPr>
            <w:r>
              <w:rPr>
                <w:rFonts w:hint="eastAsia"/>
                <w:sz w:val="28"/>
                <w:szCs w:val="28"/>
                <w:lang w:val="en-US" w:eastAsia="zh-CN"/>
              </w:rPr>
              <w:t>投标</w:t>
            </w:r>
            <w:r>
              <w:rPr>
                <w:sz w:val="28"/>
                <w:szCs w:val="28"/>
              </w:rPr>
              <w:t>报价</w:t>
            </w:r>
          </w:p>
        </w:tc>
        <w:tc>
          <w:tcPr>
            <w:tcW w:w="2376" w:type="dxa"/>
            <w:noWrap w:val="0"/>
            <w:vAlign w:val="top"/>
          </w:tcPr>
          <w:p w14:paraId="60FE22A0">
            <w:pPr>
              <w:ind w:left="0" w:leftChars="0" w:firstLine="0" w:firstLineChars="0"/>
              <w:jc w:val="left"/>
              <w:rPr>
                <w:sz w:val="28"/>
                <w:szCs w:val="28"/>
              </w:rPr>
            </w:pPr>
            <w:r>
              <w:rPr>
                <w:sz w:val="28"/>
                <w:szCs w:val="28"/>
              </w:rPr>
              <w:t>投标报价得分 (</w:t>
            </w:r>
            <w:r>
              <w:rPr>
                <w:rFonts w:hint="eastAsia"/>
                <w:sz w:val="28"/>
                <w:szCs w:val="28"/>
                <w:lang w:val="en-US" w:eastAsia="zh-CN"/>
              </w:rPr>
              <w:t>3</w:t>
            </w:r>
            <w:r>
              <w:rPr>
                <w:sz w:val="28"/>
                <w:szCs w:val="28"/>
              </w:rPr>
              <w:t>0.0分)</w:t>
            </w:r>
          </w:p>
        </w:tc>
        <w:tc>
          <w:tcPr>
            <w:tcW w:w="6789" w:type="dxa"/>
            <w:noWrap w:val="0"/>
            <w:vAlign w:val="top"/>
          </w:tcPr>
          <w:p w14:paraId="79D914BB">
            <w:pPr>
              <w:keepNext w:val="0"/>
              <w:keepLines w:val="0"/>
              <w:pageBreakBefore w:val="0"/>
              <w:widowControl w:val="0"/>
              <w:kinsoku/>
              <w:wordWrap/>
              <w:overflowPunct/>
              <w:topLinePunct w:val="0"/>
              <w:autoSpaceDE/>
              <w:autoSpaceDN/>
              <w:bidi w:val="0"/>
              <w:adjustRightInd/>
              <w:snapToGrid/>
              <w:jc w:val="both"/>
              <w:textAlignment w:val="auto"/>
              <w:rPr>
                <w:rFonts w:hint="eastAsia" w:eastAsia="仿宋"/>
                <w:lang w:eastAsia="zh-CN"/>
              </w:rPr>
            </w:pPr>
            <w:r>
              <w:rPr>
                <w:rFonts w:hint="eastAsia" w:ascii="仿宋" w:hAnsi="仿宋" w:eastAsia="仿宋" w:cs="Times New Roman"/>
                <w:b w:val="0"/>
                <w:bCs w:val="0"/>
                <w:color w:val="auto"/>
                <w:sz w:val="28"/>
                <w:szCs w:val="28"/>
              </w:rPr>
              <w:t>投标报价得分(</w:t>
            </w:r>
            <w:r>
              <w:rPr>
                <w:rFonts w:hint="eastAsia" w:ascii="仿宋" w:hAnsi="仿宋" w:eastAsia="仿宋" w:cs="Times New Roman"/>
                <w:b w:val="0"/>
                <w:bCs w:val="0"/>
                <w:color w:val="auto"/>
                <w:sz w:val="28"/>
                <w:szCs w:val="28"/>
                <w:lang w:val="en-US" w:eastAsia="zh-CN"/>
              </w:rPr>
              <w:t>30</w:t>
            </w:r>
            <w:r>
              <w:rPr>
                <w:rFonts w:hint="eastAsia" w:ascii="仿宋" w:hAnsi="仿宋" w:eastAsia="仿宋" w:cs="Times New Roman"/>
                <w:b w:val="0"/>
                <w:bCs w:val="0"/>
                <w:color w:val="auto"/>
                <w:sz w:val="28"/>
                <w:szCs w:val="28"/>
              </w:rPr>
              <w:t>.0分)：投标报价得分＝（基准价/报价）×价格分值【注：满足采购文件要求且投标价格最低的投标报价为评标基准价。】最低报价不是中标的唯一依据</w:t>
            </w:r>
            <w:r>
              <w:rPr>
                <w:rFonts w:hint="eastAsia" w:ascii="仿宋" w:hAnsi="仿宋" w:eastAsia="仿宋" w:cs="Times New Roman"/>
                <w:b w:val="0"/>
                <w:bCs w:val="0"/>
                <w:color w:val="auto"/>
                <w:sz w:val="28"/>
                <w:szCs w:val="28"/>
                <w:lang w:eastAsia="zh-CN"/>
              </w:rPr>
              <w:t>。</w:t>
            </w:r>
          </w:p>
        </w:tc>
      </w:tr>
      <w:tr w14:paraId="495820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273" w:hRule="atLeast"/>
        </w:trPr>
        <w:tc>
          <w:tcPr>
            <w:tcW w:w="10018" w:type="dxa"/>
            <w:gridSpan w:val="3"/>
            <w:noWrap w:val="0"/>
            <w:vAlign w:val="top"/>
          </w:tcPr>
          <w:p w14:paraId="798741F7">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Times New Roman"/>
                <w:b w:val="0"/>
                <w:bCs w:val="0"/>
                <w:color w:val="auto"/>
                <w:sz w:val="28"/>
                <w:szCs w:val="28"/>
              </w:rPr>
            </w:pPr>
            <w:r>
              <w:rPr>
                <w:rFonts w:hint="eastAsia" w:ascii="仿宋" w:hAnsi="仿宋" w:eastAsia="仿宋" w:cs="仿宋"/>
                <w:bCs w:val="0"/>
                <w:color w:val="auto"/>
                <w:spacing w:val="0"/>
                <w:kern w:val="2"/>
                <w:sz w:val="28"/>
                <w:szCs w:val="28"/>
                <w:shd w:val="clear" w:color="auto" w:fill="auto"/>
                <w:lang w:val="en-US" w:eastAsia="zh-CN" w:bidi="ar-SA"/>
              </w:rPr>
              <w:t>说明：打“★”号条款为实质性条款，若有任何一条负偏离或不满足则导致投标无效。</w:t>
            </w:r>
            <w:r>
              <w:rPr>
                <w:rFonts w:hint="eastAsia" w:ascii="仿宋" w:hAnsi="仿宋" w:eastAsia="仿宋" w:cs="仿宋"/>
                <w:bCs w:val="0"/>
                <w:color w:val="auto"/>
                <w:spacing w:val="0"/>
                <w:kern w:val="2"/>
                <w:sz w:val="28"/>
                <w:szCs w:val="28"/>
                <w:shd w:val="clear" w:color="auto" w:fill="auto"/>
                <w:lang w:val="en-US" w:eastAsia="zh-CN" w:bidi="ar-SA"/>
              </w:rPr>
              <w:br w:type="textWrapping"/>
            </w:r>
            <w:r>
              <w:rPr>
                <w:rFonts w:hint="eastAsia" w:ascii="仿宋" w:hAnsi="仿宋" w:eastAsia="仿宋" w:cs="仿宋"/>
                <w:bCs w:val="0"/>
                <w:color w:val="auto"/>
                <w:spacing w:val="0"/>
                <w:kern w:val="2"/>
                <w:sz w:val="28"/>
                <w:szCs w:val="28"/>
                <w:shd w:val="clear" w:color="auto" w:fill="auto"/>
                <w:lang w:val="en-US" w:eastAsia="zh-CN" w:bidi="ar-SA"/>
              </w:rPr>
              <w:t xml:space="preserve">     打“▲”号条款为重要技术参数，若有部分“▲”条款未响应或不满足，将导致其响应性评审加重扣分，但不作为无效投标条款。</w:t>
            </w:r>
          </w:p>
        </w:tc>
      </w:tr>
    </w:tbl>
    <w:p w14:paraId="10B568AC">
      <w:pPr>
        <w:pStyle w:val="2"/>
        <w:spacing w:before="0" w:after="0" w:line="240" w:lineRule="auto"/>
        <w:ind w:left="0" w:leftChars="0" w:firstLine="0" w:firstLineChars="0"/>
        <w:rPr>
          <w:rFonts w:hint="eastAsia" w:ascii="仿宋" w:hAnsi="仿宋" w:eastAsia="仿宋" w:cs="Helvetica Neue"/>
          <w:i/>
          <w:iCs/>
          <w:kern w:val="0"/>
          <w:sz w:val="28"/>
          <w:szCs w:val="28"/>
          <w:lang w:eastAsia="zh-CN"/>
        </w:rPr>
      </w:pPr>
    </w:p>
    <w:sectPr>
      <w:footerReference r:id="rId5" w:type="default"/>
      <w:footerReference r:id="rId6" w:type="even"/>
      <w:pgSz w:w="11906" w:h="16838"/>
      <w:pgMar w:top="2098" w:right="1474" w:bottom="1984" w:left="1587" w:header="851" w:footer="1389" w:gutter="0"/>
      <w:cols w:space="0" w:num="1"/>
      <w:docGrid w:type="linesAndChars" w:linePitch="589" w:charSpace="15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Helvetica Neue">
    <w:altName w:val="Times New Roman"/>
    <w:panose1 w:val="00000000000000000000"/>
    <w:charset w:val="00"/>
    <w:family w:val="auto"/>
    <w:pitch w:val="default"/>
    <w:sig w:usb0="00000000" w:usb1="00000000" w:usb2="00000010" w:usb3="00000000" w:csb0="0000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2368"/>
    </w:sdtPr>
    <w:sdtContent>
      <w:p w14:paraId="6999695F">
        <w:pPr>
          <w:pStyle w:val="8"/>
          <w:ind w:right="320" w:rightChars="100" w:firstLine="0"/>
          <w:jc w:val="right"/>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15</w:t>
        </w:r>
        <w:r>
          <w:rPr>
            <w:rFonts w:ascii="宋体" w:hAnsi="宋体" w:eastAsia="宋体"/>
            <w:sz w:val="28"/>
            <w:szCs w:val="28"/>
          </w:rPr>
          <w:fldChar w:fldCharType="end"/>
        </w:r>
        <w:r>
          <w:rPr>
            <w:rFonts w:hint="eastAsia" w:ascii="宋体" w:hAnsi="宋体" w:eastAsia="宋体"/>
            <w:sz w:val="28"/>
            <w:szCs w:val="28"/>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19E3B">
    <w:pPr>
      <w:pStyle w:val="8"/>
      <w:ind w:left="320" w:leftChars="100" w:firstLine="0"/>
    </w:pPr>
    <w:r>
      <w:rPr>
        <w:rFonts w:hint="eastAsia" w:ascii="宋体" w:hAnsi="宋体" w:eastAsia="宋体"/>
        <w:sz w:val="28"/>
        <w:szCs w:val="28"/>
      </w:rPr>
      <w:t xml:space="preserve">— </w:t>
    </w:r>
    <w:sdt>
      <w:sdtPr>
        <w:rPr>
          <w:rFonts w:ascii="宋体" w:hAnsi="宋体" w:eastAsia="宋体"/>
          <w:sz w:val="28"/>
          <w:szCs w:val="28"/>
        </w:rPr>
        <w:id w:val="147454186"/>
      </w:sdtPr>
      <w:sdtEndPr>
        <w:rPr>
          <w:rFonts w:ascii="Times New Roman" w:hAnsi="Times New Roman" w:eastAsia="仿宋_GB2312"/>
          <w:sz w:val="18"/>
          <w:szCs w:val="18"/>
        </w:rPr>
      </w:sdtEndPr>
      <w:sdtContent>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10</w:t>
        </w:r>
        <w:r>
          <w:rPr>
            <w:rFonts w:ascii="宋体" w:hAnsi="宋体" w:eastAsia="宋体"/>
            <w:sz w:val="28"/>
            <w:szCs w:val="28"/>
          </w:rPr>
          <w:fldChar w:fldCharType="end"/>
        </w:r>
        <w:r>
          <w:rPr>
            <w:rFonts w:hint="eastAsia" w:ascii="宋体" w:hAnsi="宋体" w:eastAsia="宋体"/>
            <w:sz w:val="28"/>
            <w:szCs w:val="28"/>
          </w:rPr>
          <w:t xml:space="preserve"> —</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documentProtection w:enforcement="0"/>
  <w:defaultTabStop w:val="420"/>
  <w:drawingGridHorizontalSpacing w:val="164"/>
  <w:drawingGridVerticalSpacing w:val="295"/>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0NzQ0NmNmYjlhYmM0NDBmZTg1MDM0MTljOTVkODIifQ=="/>
  </w:docVars>
  <w:rsids>
    <w:rsidRoot w:val="009A59A7"/>
    <w:rsid w:val="0000008E"/>
    <w:rsid w:val="00000136"/>
    <w:rsid w:val="000007A8"/>
    <w:rsid w:val="00006C47"/>
    <w:rsid w:val="000076DA"/>
    <w:rsid w:val="0001143F"/>
    <w:rsid w:val="00013177"/>
    <w:rsid w:val="0002365E"/>
    <w:rsid w:val="0002613A"/>
    <w:rsid w:val="00026AD8"/>
    <w:rsid w:val="00030F1A"/>
    <w:rsid w:val="00031572"/>
    <w:rsid w:val="00034C57"/>
    <w:rsid w:val="00052DFD"/>
    <w:rsid w:val="000541F4"/>
    <w:rsid w:val="00054B7F"/>
    <w:rsid w:val="00076578"/>
    <w:rsid w:val="00081243"/>
    <w:rsid w:val="00082650"/>
    <w:rsid w:val="00087029"/>
    <w:rsid w:val="0008752A"/>
    <w:rsid w:val="00092FC1"/>
    <w:rsid w:val="000A1C14"/>
    <w:rsid w:val="000A36F5"/>
    <w:rsid w:val="000A3F79"/>
    <w:rsid w:val="000B0F95"/>
    <w:rsid w:val="000B1C44"/>
    <w:rsid w:val="000B40A0"/>
    <w:rsid w:val="000B4A23"/>
    <w:rsid w:val="000B4E35"/>
    <w:rsid w:val="000B5C73"/>
    <w:rsid w:val="000C18DF"/>
    <w:rsid w:val="000C1EB1"/>
    <w:rsid w:val="000C4553"/>
    <w:rsid w:val="000D7232"/>
    <w:rsid w:val="000E57D1"/>
    <w:rsid w:val="000F632B"/>
    <w:rsid w:val="0010292A"/>
    <w:rsid w:val="0010309F"/>
    <w:rsid w:val="00103817"/>
    <w:rsid w:val="00103B7E"/>
    <w:rsid w:val="00120C2B"/>
    <w:rsid w:val="00120FCC"/>
    <w:rsid w:val="00122162"/>
    <w:rsid w:val="0012262D"/>
    <w:rsid w:val="00123214"/>
    <w:rsid w:val="001244C5"/>
    <w:rsid w:val="001302BF"/>
    <w:rsid w:val="00130F95"/>
    <w:rsid w:val="001315C1"/>
    <w:rsid w:val="001325CD"/>
    <w:rsid w:val="001344AF"/>
    <w:rsid w:val="00141299"/>
    <w:rsid w:val="00141842"/>
    <w:rsid w:val="00143D26"/>
    <w:rsid w:val="001440DF"/>
    <w:rsid w:val="00145F9F"/>
    <w:rsid w:val="00146A53"/>
    <w:rsid w:val="00155249"/>
    <w:rsid w:val="00156673"/>
    <w:rsid w:val="0015713B"/>
    <w:rsid w:val="001601ED"/>
    <w:rsid w:val="00161113"/>
    <w:rsid w:val="00163947"/>
    <w:rsid w:val="00163FFE"/>
    <w:rsid w:val="0018104B"/>
    <w:rsid w:val="0018366B"/>
    <w:rsid w:val="00193F88"/>
    <w:rsid w:val="00194029"/>
    <w:rsid w:val="00194823"/>
    <w:rsid w:val="00195EBA"/>
    <w:rsid w:val="00196EDA"/>
    <w:rsid w:val="00197854"/>
    <w:rsid w:val="001A24E6"/>
    <w:rsid w:val="001A4447"/>
    <w:rsid w:val="001B1333"/>
    <w:rsid w:val="001B1B71"/>
    <w:rsid w:val="001B2A68"/>
    <w:rsid w:val="001C4EA1"/>
    <w:rsid w:val="001C7344"/>
    <w:rsid w:val="001D0A86"/>
    <w:rsid w:val="001D277D"/>
    <w:rsid w:val="001D57C9"/>
    <w:rsid w:val="001E66AD"/>
    <w:rsid w:val="001E748A"/>
    <w:rsid w:val="001E75F5"/>
    <w:rsid w:val="001F1E42"/>
    <w:rsid w:val="001F2B01"/>
    <w:rsid w:val="001F61A3"/>
    <w:rsid w:val="00201605"/>
    <w:rsid w:val="00201B09"/>
    <w:rsid w:val="0020337F"/>
    <w:rsid w:val="00205D93"/>
    <w:rsid w:val="00211325"/>
    <w:rsid w:val="00213CF6"/>
    <w:rsid w:val="00217EB6"/>
    <w:rsid w:val="0022025E"/>
    <w:rsid w:val="0022087F"/>
    <w:rsid w:val="002235DD"/>
    <w:rsid w:val="00225074"/>
    <w:rsid w:val="00225A40"/>
    <w:rsid w:val="00225D74"/>
    <w:rsid w:val="002263DC"/>
    <w:rsid w:val="00227FF5"/>
    <w:rsid w:val="0024036D"/>
    <w:rsid w:val="002414CF"/>
    <w:rsid w:val="00243695"/>
    <w:rsid w:val="0025147A"/>
    <w:rsid w:val="00257A98"/>
    <w:rsid w:val="00257BBF"/>
    <w:rsid w:val="0026359B"/>
    <w:rsid w:val="00263A16"/>
    <w:rsid w:val="00265CB5"/>
    <w:rsid w:val="00271D88"/>
    <w:rsid w:val="0027272D"/>
    <w:rsid w:val="00273DFA"/>
    <w:rsid w:val="002751DD"/>
    <w:rsid w:val="00275BDD"/>
    <w:rsid w:val="00277D7F"/>
    <w:rsid w:val="00285A10"/>
    <w:rsid w:val="00287327"/>
    <w:rsid w:val="0029452B"/>
    <w:rsid w:val="002A35A5"/>
    <w:rsid w:val="002B0637"/>
    <w:rsid w:val="002B0DC8"/>
    <w:rsid w:val="002B16C9"/>
    <w:rsid w:val="002B39A4"/>
    <w:rsid w:val="002B571C"/>
    <w:rsid w:val="002B66FD"/>
    <w:rsid w:val="002C0DD6"/>
    <w:rsid w:val="002C6A1A"/>
    <w:rsid w:val="002C7F54"/>
    <w:rsid w:val="002D7395"/>
    <w:rsid w:val="002E237F"/>
    <w:rsid w:val="002E26D3"/>
    <w:rsid w:val="002E412B"/>
    <w:rsid w:val="002E41F5"/>
    <w:rsid w:val="002E61B9"/>
    <w:rsid w:val="00301D14"/>
    <w:rsid w:val="00304B70"/>
    <w:rsid w:val="0030630E"/>
    <w:rsid w:val="00306A5A"/>
    <w:rsid w:val="003118DE"/>
    <w:rsid w:val="00317450"/>
    <w:rsid w:val="00317B17"/>
    <w:rsid w:val="00321DFD"/>
    <w:rsid w:val="00324D61"/>
    <w:rsid w:val="00331269"/>
    <w:rsid w:val="00331765"/>
    <w:rsid w:val="00335706"/>
    <w:rsid w:val="003462FA"/>
    <w:rsid w:val="0035436B"/>
    <w:rsid w:val="00354B6F"/>
    <w:rsid w:val="00354BBF"/>
    <w:rsid w:val="00357D77"/>
    <w:rsid w:val="0036243B"/>
    <w:rsid w:val="003627A5"/>
    <w:rsid w:val="00363973"/>
    <w:rsid w:val="00363C52"/>
    <w:rsid w:val="00365D7C"/>
    <w:rsid w:val="00367A87"/>
    <w:rsid w:val="00373D66"/>
    <w:rsid w:val="00375165"/>
    <w:rsid w:val="00385974"/>
    <w:rsid w:val="00396D38"/>
    <w:rsid w:val="003975FC"/>
    <w:rsid w:val="003A2354"/>
    <w:rsid w:val="003A287F"/>
    <w:rsid w:val="003A3428"/>
    <w:rsid w:val="003A6B84"/>
    <w:rsid w:val="003A7FDB"/>
    <w:rsid w:val="003B15FA"/>
    <w:rsid w:val="003B6F29"/>
    <w:rsid w:val="003C06FD"/>
    <w:rsid w:val="003C25CA"/>
    <w:rsid w:val="003C778E"/>
    <w:rsid w:val="003D0D49"/>
    <w:rsid w:val="003E3E9A"/>
    <w:rsid w:val="003E6D58"/>
    <w:rsid w:val="003E7246"/>
    <w:rsid w:val="003F1C9C"/>
    <w:rsid w:val="003F292B"/>
    <w:rsid w:val="003F2E03"/>
    <w:rsid w:val="004025CD"/>
    <w:rsid w:val="00403BED"/>
    <w:rsid w:val="0040411E"/>
    <w:rsid w:val="004052B2"/>
    <w:rsid w:val="00407D3F"/>
    <w:rsid w:val="00411B07"/>
    <w:rsid w:val="00412D70"/>
    <w:rsid w:val="00414DD2"/>
    <w:rsid w:val="0042121D"/>
    <w:rsid w:val="004258B3"/>
    <w:rsid w:val="00433431"/>
    <w:rsid w:val="0043482F"/>
    <w:rsid w:val="004462BF"/>
    <w:rsid w:val="0044771C"/>
    <w:rsid w:val="0045167E"/>
    <w:rsid w:val="004542D9"/>
    <w:rsid w:val="004555DA"/>
    <w:rsid w:val="0045705A"/>
    <w:rsid w:val="00462E0E"/>
    <w:rsid w:val="00463933"/>
    <w:rsid w:val="004743AB"/>
    <w:rsid w:val="00475E05"/>
    <w:rsid w:val="00476204"/>
    <w:rsid w:val="004762A8"/>
    <w:rsid w:val="00477D13"/>
    <w:rsid w:val="00481685"/>
    <w:rsid w:val="004849D9"/>
    <w:rsid w:val="00485C46"/>
    <w:rsid w:val="00493C16"/>
    <w:rsid w:val="00493F4A"/>
    <w:rsid w:val="00494368"/>
    <w:rsid w:val="00494B9F"/>
    <w:rsid w:val="004A044A"/>
    <w:rsid w:val="004A6E29"/>
    <w:rsid w:val="004B144E"/>
    <w:rsid w:val="004B5CDD"/>
    <w:rsid w:val="004B71F6"/>
    <w:rsid w:val="004B7AFA"/>
    <w:rsid w:val="004C01E3"/>
    <w:rsid w:val="004C08BF"/>
    <w:rsid w:val="004C0BB3"/>
    <w:rsid w:val="004D4DC6"/>
    <w:rsid w:val="004D5105"/>
    <w:rsid w:val="004D6964"/>
    <w:rsid w:val="004F04AA"/>
    <w:rsid w:val="004F2AC4"/>
    <w:rsid w:val="004F4C25"/>
    <w:rsid w:val="004F5211"/>
    <w:rsid w:val="005022A4"/>
    <w:rsid w:val="00511147"/>
    <w:rsid w:val="00514FB2"/>
    <w:rsid w:val="00516D24"/>
    <w:rsid w:val="00517059"/>
    <w:rsid w:val="00517202"/>
    <w:rsid w:val="00522C2F"/>
    <w:rsid w:val="0052575B"/>
    <w:rsid w:val="00532801"/>
    <w:rsid w:val="00535B02"/>
    <w:rsid w:val="00541E27"/>
    <w:rsid w:val="0054519E"/>
    <w:rsid w:val="00556000"/>
    <w:rsid w:val="00561A2B"/>
    <w:rsid w:val="00562309"/>
    <w:rsid w:val="00565508"/>
    <w:rsid w:val="00565873"/>
    <w:rsid w:val="005669DE"/>
    <w:rsid w:val="005720F7"/>
    <w:rsid w:val="005733B5"/>
    <w:rsid w:val="00575F65"/>
    <w:rsid w:val="005769D9"/>
    <w:rsid w:val="0057702D"/>
    <w:rsid w:val="00577BC2"/>
    <w:rsid w:val="00583A4F"/>
    <w:rsid w:val="00583CA1"/>
    <w:rsid w:val="00590D69"/>
    <w:rsid w:val="00591462"/>
    <w:rsid w:val="005A07A6"/>
    <w:rsid w:val="005A64D4"/>
    <w:rsid w:val="005A773E"/>
    <w:rsid w:val="005B3C9C"/>
    <w:rsid w:val="005B610C"/>
    <w:rsid w:val="005B6A5F"/>
    <w:rsid w:val="005C6DE6"/>
    <w:rsid w:val="005D1C18"/>
    <w:rsid w:val="005D66EC"/>
    <w:rsid w:val="005E77C3"/>
    <w:rsid w:val="005E7A6D"/>
    <w:rsid w:val="005F0B80"/>
    <w:rsid w:val="005F5EB3"/>
    <w:rsid w:val="005F6FA7"/>
    <w:rsid w:val="00602698"/>
    <w:rsid w:val="006031DD"/>
    <w:rsid w:val="006033F3"/>
    <w:rsid w:val="006033F4"/>
    <w:rsid w:val="00607155"/>
    <w:rsid w:val="00607359"/>
    <w:rsid w:val="00611496"/>
    <w:rsid w:val="006162E4"/>
    <w:rsid w:val="00616AAD"/>
    <w:rsid w:val="006221EF"/>
    <w:rsid w:val="00622D18"/>
    <w:rsid w:val="006242D9"/>
    <w:rsid w:val="00625C7A"/>
    <w:rsid w:val="00626C8C"/>
    <w:rsid w:val="00630355"/>
    <w:rsid w:val="00631FE5"/>
    <w:rsid w:val="00633CE2"/>
    <w:rsid w:val="00634A37"/>
    <w:rsid w:val="0065210E"/>
    <w:rsid w:val="00654F7F"/>
    <w:rsid w:val="0065726F"/>
    <w:rsid w:val="006573B3"/>
    <w:rsid w:val="00657FE3"/>
    <w:rsid w:val="00661709"/>
    <w:rsid w:val="00662F16"/>
    <w:rsid w:val="00664884"/>
    <w:rsid w:val="00670CE9"/>
    <w:rsid w:val="00672886"/>
    <w:rsid w:val="00672B3F"/>
    <w:rsid w:val="00673408"/>
    <w:rsid w:val="00676537"/>
    <w:rsid w:val="0067711A"/>
    <w:rsid w:val="00677F80"/>
    <w:rsid w:val="00681572"/>
    <w:rsid w:val="0068181F"/>
    <w:rsid w:val="00681CBA"/>
    <w:rsid w:val="0068467D"/>
    <w:rsid w:val="0068678D"/>
    <w:rsid w:val="006870CE"/>
    <w:rsid w:val="006931E5"/>
    <w:rsid w:val="006A3C5A"/>
    <w:rsid w:val="006A3E39"/>
    <w:rsid w:val="006B00BC"/>
    <w:rsid w:val="006B10A0"/>
    <w:rsid w:val="006B1C21"/>
    <w:rsid w:val="006B5BD9"/>
    <w:rsid w:val="006B6D32"/>
    <w:rsid w:val="006C50BA"/>
    <w:rsid w:val="006C7E9A"/>
    <w:rsid w:val="006D04D8"/>
    <w:rsid w:val="006D68CE"/>
    <w:rsid w:val="006E4287"/>
    <w:rsid w:val="006E4C8E"/>
    <w:rsid w:val="006E7225"/>
    <w:rsid w:val="006F5FEB"/>
    <w:rsid w:val="00701D5E"/>
    <w:rsid w:val="0070270D"/>
    <w:rsid w:val="00702963"/>
    <w:rsid w:val="00703CFC"/>
    <w:rsid w:val="00703F4D"/>
    <w:rsid w:val="0070775C"/>
    <w:rsid w:val="007101E9"/>
    <w:rsid w:val="0071150D"/>
    <w:rsid w:val="00711A06"/>
    <w:rsid w:val="00720675"/>
    <w:rsid w:val="0072294B"/>
    <w:rsid w:val="00731AA4"/>
    <w:rsid w:val="00736108"/>
    <w:rsid w:val="00737005"/>
    <w:rsid w:val="007372CD"/>
    <w:rsid w:val="007422EF"/>
    <w:rsid w:val="007444AE"/>
    <w:rsid w:val="0074764A"/>
    <w:rsid w:val="00747BBE"/>
    <w:rsid w:val="00747CAC"/>
    <w:rsid w:val="00752B24"/>
    <w:rsid w:val="00764E54"/>
    <w:rsid w:val="0076752D"/>
    <w:rsid w:val="00767BAC"/>
    <w:rsid w:val="0077065B"/>
    <w:rsid w:val="00774AD8"/>
    <w:rsid w:val="00776BEE"/>
    <w:rsid w:val="007876D7"/>
    <w:rsid w:val="00790882"/>
    <w:rsid w:val="00792A55"/>
    <w:rsid w:val="00797A50"/>
    <w:rsid w:val="007A0181"/>
    <w:rsid w:val="007A21EE"/>
    <w:rsid w:val="007B2492"/>
    <w:rsid w:val="007B3BB0"/>
    <w:rsid w:val="007C1B64"/>
    <w:rsid w:val="007C2CBE"/>
    <w:rsid w:val="007C420A"/>
    <w:rsid w:val="007C5AA2"/>
    <w:rsid w:val="007D1022"/>
    <w:rsid w:val="007D2A49"/>
    <w:rsid w:val="007D7699"/>
    <w:rsid w:val="007E1CA9"/>
    <w:rsid w:val="007E29C5"/>
    <w:rsid w:val="007E49F3"/>
    <w:rsid w:val="007E51BC"/>
    <w:rsid w:val="007E522C"/>
    <w:rsid w:val="007E7E57"/>
    <w:rsid w:val="007F47A4"/>
    <w:rsid w:val="0080214E"/>
    <w:rsid w:val="0080231C"/>
    <w:rsid w:val="00804542"/>
    <w:rsid w:val="00806170"/>
    <w:rsid w:val="008117FC"/>
    <w:rsid w:val="00817134"/>
    <w:rsid w:val="00821A2F"/>
    <w:rsid w:val="0082281C"/>
    <w:rsid w:val="00822D3F"/>
    <w:rsid w:val="00823456"/>
    <w:rsid w:val="00824F06"/>
    <w:rsid w:val="008257FB"/>
    <w:rsid w:val="00831957"/>
    <w:rsid w:val="008355A3"/>
    <w:rsid w:val="008355D1"/>
    <w:rsid w:val="00836BD2"/>
    <w:rsid w:val="00840DB9"/>
    <w:rsid w:val="00841E40"/>
    <w:rsid w:val="008421C6"/>
    <w:rsid w:val="008455BF"/>
    <w:rsid w:val="00846983"/>
    <w:rsid w:val="008514AB"/>
    <w:rsid w:val="0085448E"/>
    <w:rsid w:val="00860BA1"/>
    <w:rsid w:val="0086615A"/>
    <w:rsid w:val="00866CE3"/>
    <w:rsid w:val="0087079A"/>
    <w:rsid w:val="00870ACA"/>
    <w:rsid w:val="00872168"/>
    <w:rsid w:val="00873C2D"/>
    <w:rsid w:val="00883868"/>
    <w:rsid w:val="008870BE"/>
    <w:rsid w:val="00890177"/>
    <w:rsid w:val="00890A06"/>
    <w:rsid w:val="00890A16"/>
    <w:rsid w:val="00895291"/>
    <w:rsid w:val="008A219A"/>
    <w:rsid w:val="008A4E9B"/>
    <w:rsid w:val="008A7BC0"/>
    <w:rsid w:val="008B16B8"/>
    <w:rsid w:val="008C1CBF"/>
    <w:rsid w:val="008C3B7B"/>
    <w:rsid w:val="008C40C3"/>
    <w:rsid w:val="008D1FDF"/>
    <w:rsid w:val="008D5108"/>
    <w:rsid w:val="008E22F4"/>
    <w:rsid w:val="008E2AF7"/>
    <w:rsid w:val="008E3551"/>
    <w:rsid w:val="008E477E"/>
    <w:rsid w:val="008E6045"/>
    <w:rsid w:val="008F2507"/>
    <w:rsid w:val="008F3CB1"/>
    <w:rsid w:val="0090112A"/>
    <w:rsid w:val="00901797"/>
    <w:rsid w:val="009028FC"/>
    <w:rsid w:val="00903D09"/>
    <w:rsid w:val="00905AF1"/>
    <w:rsid w:val="0090601E"/>
    <w:rsid w:val="00906ECA"/>
    <w:rsid w:val="0090750B"/>
    <w:rsid w:val="00914C9E"/>
    <w:rsid w:val="00914E02"/>
    <w:rsid w:val="00921E9A"/>
    <w:rsid w:val="009239D6"/>
    <w:rsid w:val="00931CBE"/>
    <w:rsid w:val="00933ACA"/>
    <w:rsid w:val="00934C4D"/>
    <w:rsid w:val="00935FA0"/>
    <w:rsid w:val="00937652"/>
    <w:rsid w:val="00937E9A"/>
    <w:rsid w:val="00947FB2"/>
    <w:rsid w:val="00950B52"/>
    <w:rsid w:val="0095209B"/>
    <w:rsid w:val="00955866"/>
    <w:rsid w:val="00956A6F"/>
    <w:rsid w:val="0096213C"/>
    <w:rsid w:val="009625A6"/>
    <w:rsid w:val="00964A6F"/>
    <w:rsid w:val="00965F2D"/>
    <w:rsid w:val="00966500"/>
    <w:rsid w:val="009705DE"/>
    <w:rsid w:val="009707AA"/>
    <w:rsid w:val="0097186C"/>
    <w:rsid w:val="00971977"/>
    <w:rsid w:val="00977775"/>
    <w:rsid w:val="0098342E"/>
    <w:rsid w:val="00986C96"/>
    <w:rsid w:val="009875F5"/>
    <w:rsid w:val="0099151D"/>
    <w:rsid w:val="0099486D"/>
    <w:rsid w:val="00995588"/>
    <w:rsid w:val="00995B22"/>
    <w:rsid w:val="0099655C"/>
    <w:rsid w:val="009A27A0"/>
    <w:rsid w:val="009A3686"/>
    <w:rsid w:val="009A3A41"/>
    <w:rsid w:val="009A59A7"/>
    <w:rsid w:val="009B115C"/>
    <w:rsid w:val="009C130C"/>
    <w:rsid w:val="009C2AB9"/>
    <w:rsid w:val="009C469B"/>
    <w:rsid w:val="009C5EDC"/>
    <w:rsid w:val="009C7B78"/>
    <w:rsid w:val="009D0710"/>
    <w:rsid w:val="009D3D3A"/>
    <w:rsid w:val="009D5169"/>
    <w:rsid w:val="009E42B6"/>
    <w:rsid w:val="009E60D1"/>
    <w:rsid w:val="009F3634"/>
    <w:rsid w:val="009F424B"/>
    <w:rsid w:val="009F66FB"/>
    <w:rsid w:val="009F7945"/>
    <w:rsid w:val="00A01541"/>
    <w:rsid w:val="00A0484A"/>
    <w:rsid w:val="00A07C9F"/>
    <w:rsid w:val="00A122B9"/>
    <w:rsid w:val="00A12CFD"/>
    <w:rsid w:val="00A20822"/>
    <w:rsid w:val="00A26018"/>
    <w:rsid w:val="00A31026"/>
    <w:rsid w:val="00A32C7D"/>
    <w:rsid w:val="00A32EEE"/>
    <w:rsid w:val="00A34428"/>
    <w:rsid w:val="00A34B0E"/>
    <w:rsid w:val="00A36E92"/>
    <w:rsid w:val="00A42021"/>
    <w:rsid w:val="00A4286A"/>
    <w:rsid w:val="00A47E22"/>
    <w:rsid w:val="00A5186C"/>
    <w:rsid w:val="00A53370"/>
    <w:rsid w:val="00A572AE"/>
    <w:rsid w:val="00A573A1"/>
    <w:rsid w:val="00A722DD"/>
    <w:rsid w:val="00A7254F"/>
    <w:rsid w:val="00A76BE8"/>
    <w:rsid w:val="00A7720E"/>
    <w:rsid w:val="00A829C6"/>
    <w:rsid w:val="00A83EA1"/>
    <w:rsid w:val="00A85C68"/>
    <w:rsid w:val="00A86451"/>
    <w:rsid w:val="00A920E8"/>
    <w:rsid w:val="00A979D7"/>
    <w:rsid w:val="00AA1E13"/>
    <w:rsid w:val="00AA7181"/>
    <w:rsid w:val="00AB064B"/>
    <w:rsid w:val="00AB3C9F"/>
    <w:rsid w:val="00AB3CEC"/>
    <w:rsid w:val="00AB799F"/>
    <w:rsid w:val="00AB7B01"/>
    <w:rsid w:val="00AC1284"/>
    <w:rsid w:val="00AC2860"/>
    <w:rsid w:val="00AC49A3"/>
    <w:rsid w:val="00AC57BB"/>
    <w:rsid w:val="00AD473A"/>
    <w:rsid w:val="00AD4A3A"/>
    <w:rsid w:val="00AE00EC"/>
    <w:rsid w:val="00AE275F"/>
    <w:rsid w:val="00AE54CD"/>
    <w:rsid w:val="00AE5503"/>
    <w:rsid w:val="00AE6573"/>
    <w:rsid w:val="00AF0B90"/>
    <w:rsid w:val="00AF0F69"/>
    <w:rsid w:val="00AF178D"/>
    <w:rsid w:val="00AF5B39"/>
    <w:rsid w:val="00AF68C9"/>
    <w:rsid w:val="00AF6C0C"/>
    <w:rsid w:val="00B00057"/>
    <w:rsid w:val="00B07063"/>
    <w:rsid w:val="00B071A8"/>
    <w:rsid w:val="00B101F9"/>
    <w:rsid w:val="00B210F5"/>
    <w:rsid w:val="00B26BD2"/>
    <w:rsid w:val="00B27EC2"/>
    <w:rsid w:val="00B30CCB"/>
    <w:rsid w:val="00B310F1"/>
    <w:rsid w:val="00B3136A"/>
    <w:rsid w:val="00B3721D"/>
    <w:rsid w:val="00B404B3"/>
    <w:rsid w:val="00B412D6"/>
    <w:rsid w:val="00B4697A"/>
    <w:rsid w:val="00B61BB1"/>
    <w:rsid w:val="00B61F91"/>
    <w:rsid w:val="00B62DE4"/>
    <w:rsid w:val="00B62EF9"/>
    <w:rsid w:val="00B63D52"/>
    <w:rsid w:val="00B642DB"/>
    <w:rsid w:val="00B6581E"/>
    <w:rsid w:val="00B65CC9"/>
    <w:rsid w:val="00B676A8"/>
    <w:rsid w:val="00B75C5B"/>
    <w:rsid w:val="00B83E60"/>
    <w:rsid w:val="00B855FE"/>
    <w:rsid w:val="00B865D5"/>
    <w:rsid w:val="00B904C0"/>
    <w:rsid w:val="00B92702"/>
    <w:rsid w:val="00B96F67"/>
    <w:rsid w:val="00BA0BAF"/>
    <w:rsid w:val="00BA336C"/>
    <w:rsid w:val="00BA718B"/>
    <w:rsid w:val="00BB0392"/>
    <w:rsid w:val="00BB305A"/>
    <w:rsid w:val="00BB6BD2"/>
    <w:rsid w:val="00BC37B1"/>
    <w:rsid w:val="00BC3BDD"/>
    <w:rsid w:val="00BC51F9"/>
    <w:rsid w:val="00BD1F7F"/>
    <w:rsid w:val="00BD5317"/>
    <w:rsid w:val="00BD53D7"/>
    <w:rsid w:val="00BE49AC"/>
    <w:rsid w:val="00BE67C0"/>
    <w:rsid w:val="00BE7445"/>
    <w:rsid w:val="00BF0CD4"/>
    <w:rsid w:val="00BF364B"/>
    <w:rsid w:val="00BF59C7"/>
    <w:rsid w:val="00BF5B05"/>
    <w:rsid w:val="00C0247A"/>
    <w:rsid w:val="00C03513"/>
    <w:rsid w:val="00C05C1B"/>
    <w:rsid w:val="00C06A72"/>
    <w:rsid w:val="00C11A6C"/>
    <w:rsid w:val="00C16EE1"/>
    <w:rsid w:val="00C22DA3"/>
    <w:rsid w:val="00C31042"/>
    <w:rsid w:val="00C32EB4"/>
    <w:rsid w:val="00C41E92"/>
    <w:rsid w:val="00C424E3"/>
    <w:rsid w:val="00C44EAE"/>
    <w:rsid w:val="00C46F28"/>
    <w:rsid w:val="00C52E25"/>
    <w:rsid w:val="00C56397"/>
    <w:rsid w:val="00C61AE0"/>
    <w:rsid w:val="00C625BC"/>
    <w:rsid w:val="00C67A69"/>
    <w:rsid w:val="00C67D0D"/>
    <w:rsid w:val="00C70D30"/>
    <w:rsid w:val="00C72DBF"/>
    <w:rsid w:val="00C82B74"/>
    <w:rsid w:val="00C83D28"/>
    <w:rsid w:val="00C85264"/>
    <w:rsid w:val="00C943AD"/>
    <w:rsid w:val="00C94749"/>
    <w:rsid w:val="00C96837"/>
    <w:rsid w:val="00CA2785"/>
    <w:rsid w:val="00CA2FC1"/>
    <w:rsid w:val="00CA3407"/>
    <w:rsid w:val="00CA3476"/>
    <w:rsid w:val="00CA4050"/>
    <w:rsid w:val="00CA59FD"/>
    <w:rsid w:val="00CA6EA8"/>
    <w:rsid w:val="00CB3966"/>
    <w:rsid w:val="00CB3F71"/>
    <w:rsid w:val="00CB5A7B"/>
    <w:rsid w:val="00CB77E4"/>
    <w:rsid w:val="00CC405B"/>
    <w:rsid w:val="00CC754C"/>
    <w:rsid w:val="00CD47E8"/>
    <w:rsid w:val="00CD6EA0"/>
    <w:rsid w:val="00CE0364"/>
    <w:rsid w:val="00CE27BE"/>
    <w:rsid w:val="00CE6047"/>
    <w:rsid w:val="00CE65D9"/>
    <w:rsid w:val="00CE6B4C"/>
    <w:rsid w:val="00CF1750"/>
    <w:rsid w:val="00CF26AB"/>
    <w:rsid w:val="00CF2DD4"/>
    <w:rsid w:val="00CF4116"/>
    <w:rsid w:val="00CF5C4C"/>
    <w:rsid w:val="00CF6133"/>
    <w:rsid w:val="00CF6EBF"/>
    <w:rsid w:val="00CF7E3E"/>
    <w:rsid w:val="00D00574"/>
    <w:rsid w:val="00D016FA"/>
    <w:rsid w:val="00D02494"/>
    <w:rsid w:val="00D06817"/>
    <w:rsid w:val="00D15145"/>
    <w:rsid w:val="00D162A4"/>
    <w:rsid w:val="00D20BA2"/>
    <w:rsid w:val="00D21525"/>
    <w:rsid w:val="00D27A00"/>
    <w:rsid w:val="00D3093F"/>
    <w:rsid w:val="00D31025"/>
    <w:rsid w:val="00D31AED"/>
    <w:rsid w:val="00D32395"/>
    <w:rsid w:val="00D36F3B"/>
    <w:rsid w:val="00D435CC"/>
    <w:rsid w:val="00D46F8A"/>
    <w:rsid w:val="00D5207D"/>
    <w:rsid w:val="00D526E1"/>
    <w:rsid w:val="00D7663F"/>
    <w:rsid w:val="00D84559"/>
    <w:rsid w:val="00D85BBF"/>
    <w:rsid w:val="00D9093C"/>
    <w:rsid w:val="00DA0D5B"/>
    <w:rsid w:val="00DA319A"/>
    <w:rsid w:val="00DA4DF7"/>
    <w:rsid w:val="00DA5FEC"/>
    <w:rsid w:val="00DB01F6"/>
    <w:rsid w:val="00DB05E6"/>
    <w:rsid w:val="00DB06ED"/>
    <w:rsid w:val="00DB1442"/>
    <w:rsid w:val="00DB150D"/>
    <w:rsid w:val="00DB1613"/>
    <w:rsid w:val="00DB2950"/>
    <w:rsid w:val="00DB605D"/>
    <w:rsid w:val="00DC1267"/>
    <w:rsid w:val="00DC159D"/>
    <w:rsid w:val="00DC629A"/>
    <w:rsid w:val="00DD2CA7"/>
    <w:rsid w:val="00DD343C"/>
    <w:rsid w:val="00DE2810"/>
    <w:rsid w:val="00DE7E28"/>
    <w:rsid w:val="00DF11B1"/>
    <w:rsid w:val="00DF337D"/>
    <w:rsid w:val="00E018BD"/>
    <w:rsid w:val="00E02981"/>
    <w:rsid w:val="00E02995"/>
    <w:rsid w:val="00E02CE5"/>
    <w:rsid w:val="00E058BB"/>
    <w:rsid w:val="00E06988"/>
    <w:rsid w:val="00E07F4C"/>
    <w:rsid w:val="00E10CDE"/>
    <w:rsid w:val="00E179FF"/>
    <w:rsid w:val="00E17B01"/>
    <w:rsid w:val="00E17E3A"/>
    <w:rsid w:val="00E23625"/>
    <w:rsid w:val="00E236ED"/>
    <w:rsid w:val="00E24A50"/>
    <w:rsid w:val="00E308D1"/>
    <w:rsid w:val="00E33233"/>
    <w:rsid w:val="00E34B5B"/>
    <w:rsid w:val="00E367BD"/>
    <w:rsid w:val="00E418F7"/>
    <w:rsid w:val="00E41921"/>
    <w:rsid w:val="00E55104"/>
    <w:rsid w:val="00E566E4"/>
    <w:rsid w:val="00E57172"/>
    <w:rsid w:val="00E57A99"/>
    <w:rsid w:val="00E620E0"/>
    <w:rsid w:val="00E67074"/>
    <w:rsid w:val="00E728D3"/>
    <w:rsid w:val="00E737A4"/>
    <w:rsid w:val="00E759B4"/>
    <w:rsid w:val="00E77575"/>
    <w:rsid w:val="00E85656"/>
    <w:rsid w:val="00E86E51"/>
    <w:rsid w:val="00E948BA"/>
    <w:rsid w:val="00E94E96"/>
    <w:rsid w:val="00EA1FCE"/>
    <w:rsid w:val="00EA230F"/>
    <w:rsid w:val="00EA3B24"/>
    <w:rsid w:val="00EA3B3B"/>
    <w:rsid w:val="00EA7108"/>
    <w:rsid w:val="00EA71F2"/>
    <w:rsid w:val="00EC2FFA"/>
    <w:rsid w:val="00EC37C7"/>
    <w:rsid w:val="00EC4373"/>
    <w:rsid w:val="00ED1278"/>
    <w:rsid w:val="00ED310E"/>
    <w:rsid w:val="00ED38A9"/>
    <w:rsid w:val="00ED5591"/>
    <w:rsid w:val="00EE0929"/>
    <w:rsid w:val="00EE0F61"/>
    <w:rsid w:val="00EE6F48"/>
    <w:rsid w:val="00EE7649"/>
    <w:rsid w:val="00EE7962"/>
    <w:rsid w:val="00EF1E6B"/>
    <w:rsid w:val="00EF2032"/>
    <w:rsid w:val="00EF2CDD"/>
    <w:rsid w:val="00EF4A90"/>
    <w:rsid w:val="00EF7849"/>
    <w:rsid w:val="00F01DF4"/>
    <w:rsid w:val="00F036D8"/>
    <w:rsid w:val="00F10460"/>
    <w:rsid w:val="00F113A2"/>
    <w:rsid w:val="00F14D9D"/>
    <w:rsid w:val="00F21981"/>
    <w:rsid w:val="00F2277D"/>
    <w:rsid w:val="00F22B59"/>
    <w:rsid w:val="00F31BF7"/>
    <w:rsid w:val="00F32A38"/>
    <w:rsid w:val="00F32BA6"/>
    <w:rsid w:val="00F32F47"/>
    <w:rsid w:val="00F4445F"/>
    <w:rsid w:val="00F464F9"/>
    <w:rsid w:val="00F473A3"/>
    <w:rsid w:val="00F47DDC"/>
    <w:rsid w:val="00F50AE0"/>
    <w:rsid w:val="00F54CE9"/>
    <w:rsid w:val="00F603A3"/>
    <w:rsid w:val="00F6373C"/>
    <w:rsid w:val="00F731E8"/>
    <w:rsid w:val="00F7374B"/>
    <w:rsid w:val="00F73EBB"/>
    <w:rsid w:val="00F7640E"/>
    <w:rsid w:val="00F76CD4"/>
    <w:rsid w:val="00F76FE0"/>
    <w:rsid w:val="00F82A58"/>
    <w:rsid w:val="00F84703"/>
    <w:rsid w:val="00F85BA9"/>
    <w:rsid w:val="00F86C4E"/>
    <w:rsid w:val="00F90A68"/>
    <w:rsid w:val="00F93686"/>
    <w:rsid w:val="00F94734"/>
    <w:rsid w:val="00FA1BB3"/>
    <w:rsid w:val="00FA6BB0"/>
    <w:rsid w:val="00FA75CA"/>
    <w:rsid w:val="00FB0B6D"/>
    <w:rsid w:val="00FB5AA7"/>
    <w:rsid w:val="00FC429D"/>
    <w:rsid w:val="00FC630D"/>
    <w:rsid w:val="00FD74B3"/>
    <w:rsid w:val="00FD7A63"/>
    <w:rsid w:val="00FE6261"/>
    <w:rsid w:val="00FE67DA"/>
    <w:rsid w:val="00FF51BC"/>
    <w:rsid w:val="00FF5D95"/>
    <w:rsid w:val="00FF6761"/>
    <w:rsid w:val="01223559"/>
    <w:rsid w:val="01462235"/>
    <w:rsid w:val="01F60430"/>
    <w:rsid w:val="021D229B"/>
    <w:rsid w:val="02510BDC"/>
    <w:rsid w:val="02AD2186"/>
    <w:rsid w:val="02B25C3D"/>
    <w:rsid w:val="02BB6F86"/>
    <w:rsid w:val="02C92162"/>
    <w:rsid w:val="02FA6EF2"/>
    <w:rsid w:val="02FF5E45"/>
    <w:rsid w:val="031C678A"/>
    <w:rsid w:val="0349745F"/>
    <w:rsid w:val="034D1CC8"/>
    <w:rsid w:val="039842CF"/>
    <w:rsid w:val="039B0D7D"/>
    <w:rsid w:val="03D567D9"/>
    <w:rsid w:val="03F363F6"/>
    <w:rsid w:val="042F236B"/>
    <w:rsid w:val="045C354F"/>
    <w:rsid w:val="047E5D41"/>
    <w:rsid w:val="04842AA6"/>
    <w:rsid w:val="04846DD5"/>
    <w:rsid w:val="04B8641E"/>
    <w:rsid w:val="04CA3B18"/>
    <w:rsid w:val="052778F4"/>
    <w:rsid w:val="052C3508"/>
    <w:rsid w:val="052F1387"/>
    <w:rsid w:val="05500BDA"/>
    <w:rsid w:val="05DB04A3"/>
    <w:rsid w:val="0604347C"/>
    <w:rsid w:val="062A0934"/>
    <w:rsid w:val="070F4658"/>
    <w:rsid w:val="078D3AFD"/>
    <w:rsid w:val="08042ADE"/>
    <w:rsid w:val="087F780C"/>
    <w:rsid w:val="088D64EC"/>
    <w:rsid w:val="08BA4CE8"/>
    <w:rsid w:val="090430D9"/>
    <w:rsid w:val="095344A8"/>
    <w:rsid w:val="095B73E3"/>
    <w:rsid w:val="09721F8E"/>
    <w:rsid w:val="09B47989"/>
    <w:rsid w:val="0A1C108A"/>
    <w:rsid w:val="0A393F55"/>
    <w:rsid w:val="0A4B1E4A"/>
    <w:rsid w:val="0A534AFF"/>
    <w:rsid w:val="0AE20B0A"/>
    <w:rsid w:val="0B537169"/>
    <w:rsid w:val="0B723658"/>
    <w:rsid w:val="0B9250CB"/>
    <w:rsid w:val="0BC83862"/>
    <w:rsid w:val="0C2B1433"/>
    <w:rsid w:val="0C2B6E7C"/>
    <w:rsid w:val="0C442AE4"/>
    <w:rsid w:val="0C4C1587"/>
    <w:rsid w:val="0C6C7336"/>
    <w:rsid w:val="0CF11F02"/>
    <w:rsid w:val="0CFF300B"/>
    <w:rsid w:val="0D037D85"/>
    <w:rsid w:val="0D451801"/>
    <w:rsid w:val="0D606B2F"/>
    <w:rsid w:val="0DA07183"/>
    <w:rsid w:val="0DA87805"/>
    <w:rsid w:val="0DCD5ABB"/>
    <w:rsid w:val="0DD77462"/>
    <w:rsid w:val="0DFF6A61"/>
    <w:rsid w:val="0E144079"/>
    <w:rsid w:val="0E19751F"/>
    <w:rsid w:val="0E1D25FC"/>
    <w:rsid w:val="0E2A7D0D"/>
    <w:rsid w:val="0E840700"/>
    <w:rsid w:val="0E9E7E22"/>
    <w:rsid w:val="0ED35847"/>
    <w:rsid w:val="0F042B52"/>
    <w:rsid w:val="0FD06ACB"/>
    <w:rsid w:val="0FFF2388"/>
    <w:rsid w:val="10451C50"/>
    <w:rsid w:val="10464669"/>
    <w:rsid w:val="10772D2F"/>
    <w:rsid w:val="10A2076A"/>
    <w:rsid w:val="10AC13BA"/>
    <w:rsid w:val="10AF1A20"/>
    <w:rsid w:val="111227A8"/>
    <w:rsid w:val="111B02EE"/>
    <w:rsid w:val="111B1D26"/>
    <w:rsid w:val="11606A2D"/>
    <w:rsid w:val="119E2955"/>
    <w:rsid w:val="11AE540E"/>
    <w:rsid w:val="11BA3663"/>
    <w:rsid w:val="11E2071C"/>
    <w:rsid w:val="121B53C5"/>
    <w:rsid w:val="122F3B48"/>
    <w:rsid w:val="12473DB3"/>
    <w:rsid w:val="125D1EF2"/>
    <w:rsid w:val="12722EA2"/>
    <w:rsid w:val="12BF30B1"/>
    <w:rsid w:val="12CE5D17"/>
    <w:rsid w:val="12D4449D"/>
    <w:rsid w:val="12DE5731"/>
    <w:rsid w:val="13147980"/>
    <w:rsid w:val="134A6C68"/>
    <w:rsid w:val="134C0C32"/>
    <w:rsid w:val="13655850"/>
    <w:rsid w:val="13BC3A75"/>
    <w:rsid w:val="13D61E18"/>
    <w:rsid w:val="14BD5114"/>
    <w:rsid w:val="14DF5D99"/>
    <w:rsid w:val="15085D61"/>
    <w:rsid w:val="154E3E6E"/>
    <w:rsid w:val="1579022B"/>
    <w:rsid w:val="15901D10"/>
    <w:rsid w:val="15A449D3"/>
    <w:rsid w:val="160C6494"/>
    <w:rsid w:val="16921052"/>
    <w:rsid w:val="169567F0"/>
    <w:rsid w:val="171B42F2"/>
    <w:rsid w:val="17306EA1"/>
    <w:rsid w:val="173E6C25"/>
    <w:rsid w:val="17856CA7"/>
    <w:rsid w:val="17A75B29"/>
    <w:rsid w:val="17EA0FC8"/>
    <w:rsid w:val="180513B0"/>
    <w:rsid w:val="18134C99"/>
    <w:rsid w:val="18434019"/>
    <w:rsid w:val="18542BF6"/>
    <w:rsid w:val="185714FE"/>
    <w:rsid w:val="1876442F"/>
    <w:rsid w:val="188B3EC6"/>
    <w:rsid w:val="18AB6E88"/>
    <w:rsid w:val="19016AF0"/>
    <w:rsid w:val="19035F1E"/>
    <w:rsid w:val="1924255C"/>
    <w:rsid w:val="19DA53FD"/>
    <w:rsid w:val="19E11D95"/>
    <w:rsid w:val="1A1354BF"/>
    <w:rsid w:val="1A166D8D"/>
    <w:rsid w:val="1A1A19D2"/>
    <w:rsid w:val="1A4D07B2"/>
    <w:rsid w:val="1A7B3BAB"/>
    <w:rsid w:val="1B016171"/>
    <w:rsid w:val="1B2279AD"/>
    <w:rsid w:val="1B724FAE"/>
    <w:rsid w:val="1BC86E01"/>
    <w:rsid w:val="1BDB6CBF"/>
    <w:rsid w:val="1C3926AD"/>
    <w:rsid w:val="1C531AB9"/>
    <w:rsid w:val="1C5B5210"/>
    <w:rsid w:val="1C940F54"/>
    <w:rsid w:val="1C996FE2"/>
    <w:rsid w:val="1D2D5615"/>
    <w:rsid w:val="1D7946FD"/>
    <w:rsid w:val="1DE74786"/>
    <w:rsid w:val="1DEA7E9E"/>
    <w:rsid w:val="1DEE4026"/>
    <w:rsid w:val="1E210611"/>
    <w:rsid w:val="1E361C38"/>
    <w:rsid w:val="1EA27958"/>
    <w:rsid w:val="1EAA2CB1"/>
    <w:rsid w:val="1ECF4EF5"/>
    <w:rsid w:val="1ED649B9"/>
    <w:rsid w:val="1EF53A59"/>
    <w:rsid w:val="1F0C571A"/>
    <w:rsid w:val="1F1D16D5"/>
    <w:rsid w:val="1F2573EA"/>
    <w:rsid w:val="1F4D284C"/>
    <w:rsid w:val="1F501AAA"/>
    <w:rsid w:val="1FAE25F1"/>
    <w:rsid w:val="1FB060A0"/>
    <w:rsid w:val="1FE2463C"/>
    <w:rsid w:val="201E676B"/>
    <w:rsid w:val="20324395"/>
    <w:rsid w:val="20657133"/>
    <w:rsid w:val="20FC63AD"/>
    <w:rsid w:val="20FC6855"/>
    <w:rsid w:val="21380790"/>
    <w:rsid w:val="217113DA"/>
    <w:rsid w:val="21844BB5"/>
    <w:rsid w:val="21977500"/>
    <w:rsid w:val="21A67B84"/>
    <w:rsid w:val="21FA6DF4"/>
    <w:rsid w:val="21FC7871"/>
    <w:rsid w:val="2210130D"/>
    <w:rsid w:val="22950817"/>
    <w:rsid w:val="22AB4DEF"/>
    <w:rsid w:val="22B8599C"/>
    <w:rsid w:val="22BD491D"/>
    <w:rsid w:val="22C84412"/>
    <w:rsid w:val="233562BF"/>
    <w:rsid w:val="23384D2F"/>
    <w:rsid w:val="23464DE4"/>
    <w:rsid w:val="23711335"/>
    <w:rsid w:val="237E56C3"/>
    <w:rsid w:val="24030E16"/>
    <w:rsid w:val="244A678E"/>
    <w:rsid w:val="24940192"/>
    <w:rsid w:val="249825F1"/>
    <w:rsid w:val="24992D0D"/>
    <w:rsid w:val="24AC023E"/>
    <w:rsid w:val="24CF5954"/>
    <w:rsid w:val="24E37F11"/>
    <w:rsid w:val="24F64DA5"/>
    <w:rsid w:val="259322B4"/>
    <w:rsid w:val="25C14F7B"/>
    <w:rsid w:val="26013B1B"/>
    <w:rsid w:val="261920E3"/>
    <w:rsid w:val="261E1534"/>
    <w:rsid w:val="26B17905"/>
    <w:rsid w:val="26B97F35"/>
    <w:rsid w:val="26D24169"/>
    <w:rsid w:val="27174C5C"/>
    <w:rsid w:val="273067C9"/>
    <w:rsid w:val="2741210B"/>
    <w:rsid w:val="27660DD0"/>
    <w:rsid w:val="276A7481"/>
    <w:rsid w:val="277551B2"/>
    <w:rsid w:val="279173E5"/>
    <w:rsid w:val="27F73F78"/>
    <w:rsid w:val="281C0984"/>
    <w:rsid w:val="28744BDA"/>
    <w:rsid w:val="2893480E"/>
    <w:rsid w:val="29223335"/>
    <w:rsid w:val="298F67ED"/>
    <w:rsid w:val="29B03871"/>
    <w:rsid w:val="29E85DEA"/>
    <w:rsid w:val="2A56543D"/>
    <w:rsid w:val="2A737E44"/>
    <w:rsid w:val="2ABB7B25"/>
    <w:rsid w:val="2B547350"/>
    <w:rsid w:val="2B7D771F"/>
    <w:rsid w:val="2C195BCB"/>
    <w:rsid w:val="2C2A7D12"/>
    <w:rsid w:val="2C3F7E23"/>
    <w:rsid w:val="2CAD701C"/>
    <w:rsid w:val="2CD33817"/>
    <w:rsid w:val="2D095824"/>
    <w:rsid w:val="2D5672B1"/>
    <w:rsid w:val="2DB77A10"/>
    <w:rsid w:val="2DC51013"/>
    <w:rsid w:val="2DCF44E2"/>
    <w:rsid w:val="2DDE2EA9"/>
    <w:rsid w:val="2E47648F"/>
    <w:rsid w:val="2E565B2A"/>
    <w:rsid w:val="2E6812E3"/>
    <w:rsid w:val="2E7C4629"/>
    <w:rsid w:val="2EC64B5C"/>
    <w:rsid w:val="2ED400C3"/>
    <w:rsid w:val="2F9000D8"/>
    <w:rsid w:val="2FBB4D1E"/>
    <w:rsid w:val="2FDA2B8D"/>
    <w:rsid w:val="303F591A"/>
    <w:rsid w:val="3047087F"/>
    <w:rsid w:val="30684342"/>
    <w:rsid w:val="307318E5"/>
    <w:rsid w:val="307F00FF"/>
    <w:rsid w:val="3093267C"/>
    <w:rsid w:val="30D52967"/>
    <w:rsid w:val="30F6610E"/>
    <w:rsid w:val="30F7475C"/>
    <w:rsid w:val="310D5422"/>
    <w:rsid w:val="3142692F"/>
    <w:rsid w:val="31541DBA"/>
    <w:rsid w:val="31561180"/>
    <w:rsid w:val="315B627C"/>
    <w:rsid w:val="316A449E"/>
    <w:rsid w:val="31AE1FC7"/>
    <w:rsid w:val="31D22BF9"/>
    <w:rsid w:val="323F180D"/>
    <w:rsid w:val="329C4ED3"/>
    <w:rsid w:val="32E65787"/>
    <w:rsid w:val="32EF7C1D"/>
    <w:rsid w:val="32F100BD"/>
    <w:rsid w:val="33184235"/>
    <w:rsid w:val="336F02F9"/>
    <w:rsid w:val="33894BCA"/>
    <w:rsid w:val="33B72A4E"/>
    <w:rsid w:val="341A21EB"/>
    <w:rsid w:val="34515C51"/>
    <w:rsid w:val="34747AA0"/>
    <w:rsid w:val="348807AF"/>
    <w:rsid w:val="34BD32E6"/>
    <w:rsid w:val="34F16D04"/>
    <w:rsid w:val="350E5A19"/>
    <w:rsid w:val="351225C8"/>
    <w:rsid w:val="35335A0B"/>
    <w:rsid w:val="356674DA"/>
    <w:rsid w:val="35DE09C9"/>
    <w:rsid w:val="362D006F"/>
    <w:rsid w:val="36483084"/>
    <w:rsid w:val="366B04D8"/>
    <w:rsid w:val="36B10C29"/>
    <w:rsid w:val="37425D25"/>
    <w:rsid w:val="376408CA"/>
    <w:rsid w:val="37774228"/>
    <w:rsid w:val="37AE3A93"/>
    <w:rsid w:val="382B5A14"/>
    <w:rsid w:val="382D4AFA"/>
    <w:rsid w:val="386332C5"/>
    <w:rsid w:val="387B0309"/>
    <w:rsid w:val="38A62FFD"/>
    <w:rsid w:val="39162FC5"/>
    <w:rsid w:val="3946701A"/>
    <w:rsid w:val="3951617D"/>
    <w:rsid w:val="3965233F"/>
    <w:rsid w:val="397A17A6"/>
    <w:rsid w:val="398805E1"/>
    <w:rsid w:val="399D78C9"/>
    <w:rsid w:val="39B822CE"/>
    <w:rsid w:val="3A0948D8"/>
    <w:rsid w:val="3A3A2CE3"/>
    <w:rsid w:val="3A40479E"/>
    <w:rsid w:val="3A5B2F18"/>
    <w:rsid w:val="3A7206CF"/>
    <w:rsid w:val="3A8C3FB2"/>
    <w:rsid w:val="3AE01BB1"/>
    <w:rsid w:val="3B111C96"/>
    <w:rsid w:val="3B30272B"/>
    <w:rsid w:val="3B5D3537"/>
    <w:rsid w:val="3B5E12EE"/>
    <w:rsid w:val="3B6A3D00"/>
    <w:rsid w:val="3B6B0611"/>
    <w:rsid w:val="3B8C5F20"/>
    <w:rsid w:val="3B94244F"/>
    <w:rsid w:val="3C23409E"/>
    <w:rsid w:val="3C4B2A92"/>
    <w:rsid w:val="3C8446EA"/>
    <w:rsid w:val="3C907271"/>
    <w:rsid w:val="3CCB2319"/>
    <w:rsid w:val="3DC43669"/>
    <w:rsid w:val="3DD95EA7"/>
    <w:rsid w:val="3E1201FF"/>
    <w:rsid w:val="3E3F2623"/>
    <w:rsid w:val="3ED63CC3"/>
    <w:rsid w:val="3ED74FA5"/>
    <w:rsid w:val="3F5B28AF"/>
    <w:rsid w:val="40766BEC"/>
    <w:rsid w:val="409444EC"/>
    <w:rsid w:val="40BF72D0"/>
    <w:rsid w:val="40D6429F"/>
    <w:rsid w:val="415A7EE6"/>
    <w:rsid w:val="415B3921"/>
    <w:rsid w:val="41761CA7"/>
    <w:rsid w:val="41952DE5"/>
    <w:rsid w:val="41B07342"/>
    <w:rsid w:val="421B005B"/>
    <w:rsid w:val="422A4671"/>
    <w:rsid w:val="423A7B79"/>
    <w:rsid w:val="42546C78"/>
    <w:rsid w:val="42C767AD"/>
    <w:rsid w:val="43041BFB"/>
    <w:rsid w:val="433B331D"/>
    <w:rsid w:val="43C41AA5"/>
    <w:rsid w:val="44036F11"/>
    <w:rsid w:val="443324D8"/>
    <w:rsid w:val="4442446E"/>
    <w:rsid w:val="44477A39"/>
    <w:rsid w:val="445242F6"/>
    <w:rsid w:val="448462B0"/>
    <w:rsid w:val="44877E79"/>
    <w:rsid w:val="44A57C2A"/>
    <w:rsid w:val="44BA514C"/>
    <w:rsid w:val="44DF070A"/>
    <w:rsid w:val="452847AC"/>
    <w:rsid w:val="45423E2F"/>
    <w:rsid w:val="454B049A"/>
    <w:rsid w:val="45662D6A"/>
    <w:rsid w:val="456D4695"/>
    <w:rsid w:val="45C51EAA"/>
    <w:rsid w:val="45FA7D68"/>
    <w:rsid w:val="45FB5F58"/>
    <w:rsid w:val="4601706A"/>
    <w:rsid w:val="468B15BF"/>
    <w:rsid w:val="46FF778E"/>
    <w:rsid w:val="47592AC8"/>
    <w:rsid w:val="47C022EA"/>
    <w:rsid w:val="480623B9"/>
    <w:rsid w:val="4899611A"/>
    <w:rsid w:val="48BD23D3"/>
    <w:rsid w:val="48CA205A"/>
    <w:rsid w:val="49467CAC"/>
    <w:rsid w:val="49DC3ED6"/>
    <w:rsid w:val="49EB7B56"/>
    <w:rsid w:val="49F43B22"/>
    <w:rsid w:val="49F4637B"/>
    <w:rsid w:val="49F802CC"/>
    <w:rsid w:val="4A2117CA"/>
    <w:rsid w:val="4A83274D"/>
    <w:rsid w:val="4AA85A47"/>
    <w:rsid w:val="4ABD70AF"/>
    <w:rsid w:val="4AD11442"/>
    <w:rsid w:val="4AF0069C"/>
    <w:rsid w:val="4B1A6144"/>
    <w:rsid w:val="4B6B71A0"/>
    <w:rsid w:val="4C170202"/>
    <w:rsid w:val="4C5D160E"/>
    <w:rsid w:val="4CC27294"/>
    <w:rsid w:val="4CD545C9"/>
    <w:rsid w:val="4D266AF1"/>
    <w:rsid w:val="4D3E079F"/>
    <w:rsid w:val="4D535BB7"/>
    <w:rsid w:val="4D8018F1"/>
    <w:rsid w:val="4D924EB8"/>
    <w:rsid w:val="4DAA338D"/>
    <w:rsid w:val="4DB43481"/>
    <w:rsid w:val="4DFA7D9E"/>
    <w:rsid w:val="4EB64BD7"/>
    <w:rsid w:val="4ECE7859"/>
    <w:rsid w:val="4ECF25E0"/>
    <w:rsid w:val="4EEB7CA9"/>
    <w:rsid w:val="4F684387"/>
    <w:rsid w:val="4FEB01C7"/>
    <w:rsid w:val="500A342C"/>
    <w:rsid w:val="50106568"/>
    <w:rsid w:val="50324731"/>
    <w:rsid w:val="507C775A"/>
    <w:rsid w:val="510065DD"/>
    <w:rsid w:val="512B7CD4"/>
    <w:rsid w:val="514905B5"/>
    <w:rsid w:val="51853F75"/>
    <w:rsid w:val="518B020A"/>
    <w:rsid w:val="51C42211"/>
    <w:rsid w:val="51D341D6"/>
    <w:rsid w:val="51D743B8"/>
    <w:rsid w:val="522A757C"/>
    <w:rsid w:val="52650ECC"/>
    <w:rsid w:val="52724AB1"/>
    <w:rsid w:val="52EB3E82"/>
    <w:rsid w:val="5360246E"/>
    <w:rsid w:val="538C4FF4"/>
    <w:rsid w:val="538D3CAA"/>
    <w:rsid w:val="53AC4C18"/>
    <w:rsid w:val="53D25467"/>
    <w:rsid w:val="545C0256"/>
    <w:rsid w:val="54A92AE8"/>
    <w:rsid w:val="553D1BAE"/>
    <w:rsid w:val="55BC2D3B"/>
    <w:rsid w:val="55D65B5E"/>
    <w:rsid w:val="55D71E8C"/>
    <w:rsid w:val="56580702"/>
    <w:rsid w:val="568E6439"/>
    <w:rsid w:val="56C65BD3"/>
    <w:rsid w:val="56F85B30"/>
    <w:rsid w:val="570F2729"/>
    <w:rsid w:val="573B31D8"/>
    <w:rsid w:val="573C7BEA"/>
    <w:rsid w:val="5758495A"/>
    <w:rsid w:val="57AA6DDA"/>
    <w:rsid w:val="57D9143D"/>
    <w:rsid w:val="584642EB"/>
    <w:rsid w:val="5872170E"/>
    <w:rsid w:val="588C14D4"/>
    <w:rsid w:val="58B855F4"/>
    <w:rsid w:val="58C33A6C"/>
    <w:rsid w:val="58D30969"/>
    <w:rsid w:val="58D86810"/>
    <w:rsid w:val="58E169DF"/>
    <w:rsid w:val="59382F53"/>
    <w:rsid w:val="59573775"/>
    <w:rsid w:val="59611BE3"/>
    <w:rsid w:val="596E05AA"/>
    <w:rsid w:val="597F3659"/>
    <w:rsid w:val="59927FEE"/>
    <w:rsid w:val="59B66E68"/>
    <w:rsid w:val="5A05201A"/>
    <w:rsid w:val="5A0838EA"/>
    <w:rsid w:val="5A096502"/>
    <w:rsid w:val="5A3B68D8"/>
    <w:rsid w:val="5A6B3970"/>
    <w:rsid w:val="5AA3501C"/>
    <w:rsid w:val="5AB165B1"/>
    <w:rsid w:val="5ADE5150"/>
    <w:rsid w:val="5AE85F5F"/>
    <w:rsid w:val="5B0B44FC"/>
    <w:rsid w:val="5B866785"/>
    <w:rsid w:val="5BD7618C"/>
    <w:rsid w:val="5C677ECC"/>
    <w:rsid w:val="5D5A6757"/>
    <w:rsid w:val="5D67264C"/>
    <w:rsid w:val="5DCD2ABA"/>
    <w:rsid w:val="5F445DE8"/>
    <w:rsid w:val="5FCA04E2"/>
    <w:rsid w:val="5FE80968"/>
    <w:rsid w:val="601A1818"/>
    <w:rsid w:val="606B4658"/>
    <w:rsid w:val="607D5554"/>
    <w:rsid w:val="60D42C45"/>
    <w:rsid w:val="60D57568"/>
    <w:rsid w:val="61094D40"/>
    <w:rsid w:val="6129748A"/>
    <w:rsid w:val="616D6DFA"/>
    <w:rsid w:val="617A3172"/>
    <w:rsid w:val="61BA4586"/>
    <w:rsid w:val="62B857F3"/>
    <w:rsid w:val="62F7085A"/>
    <w:rsid w:val="62F94650"/>
    <w:rsid w:val="62FD1DA2"/>
    <w:rsid w:val="63383589"/>
    <w:rsid w:val="63412AAC"/>
    <w:rsid w:val="63AD5074"/>
    <w:rsid w:val="640306F3"/>
    <w:rsid w:val="64493987"/>
    <w:rsid w:val="649675DA"/>
    <w:rsid w:val="64B96A68"/>
    <w:rsid w:val="64C13FD4"/>
    <w:rsid w:val="64FA2A38"/>
    <w:rsid w:val="652137D3"/>
    <w:rsid w:val="65A92B06"/>
    <w:rsid w:val="65E73470"/>
    <w:rsid w:val="66A31F4D"/>
    <w:rsid w:val="66AD03D7"/>
    <w:rsid w:val="66B62A97"/>
    <w:rsid w:val="66C5682B"/>
    <w:rsid w:val="66C60A29"/>
    <w:rsid w:val="67063403"/>
    <w:rsid w:val="672256C2"/>
    <w:rsid w:val="67267484"/>
    <w:rsid w:val="67395F4D"/>
    <w:rsid w:val="673D0876"/>
    <w:rsid w:val="6760140E"/>
    <w:rsid w:val="676D4DFE"/>
    <w:rsid w:val="67BB791E"/>
    <w:rsid w:val="67D06633"/>
    <w:rsid w:val="680C64B8"/>
    <w:rsid w:val="6813581D"/>
    <w:rsid w:val="68246BFD"/>
    <w:rsid w:val="68251524"/>
    <w:rsid w:val="682E5386"/>
    <w:rsid w:val="688651C2"/>
    <w:rsid w:val="68AB6EB0"/>
    <w:rsid w:val="68AE414D"/>
    <w:rsid w:val="690A5DF3"/>
    <w:rsid w:val="691B6793"/>
    <w:rsid w:val="6980615C"/>
    <w:rsid w:val="6A0C061B"/>
    <w:rsid w:val="6A0F5175"/>
    <w:rsid w:val="6A211CE5"/>
    <w:rsid w:val="6AC33B8D"/>
    <w:rsid w:val="6ADF6E0B"/>
    <w:rsid w:val="6B235906"/>
    <w:rsid w:val="6B6E6157"/>
    <w:rsid w:val="6BE8703F"/>
    <w:rsid w:val="6BEA109C"/>
    <w:rsid w:val="6BF23936"/>
    <w:rsid w:val="6C582A3C"/>
    <w:rsid w:val="6C9B1B05"/>
    <w:rsid w:val="6CA44912"/>
    <w:rsid w:val="6CB32F5C"/>
    <w:rsid w:val="6CBF4278"/>
    <w:rsid w:val="6CC43F5E"/>
    <w:rsid w:val="6CDE55CC"/>
    <w:rsid w:val="6CF525C8"/>
    <w:rsid w:val="6D0B213A"/>
    <w:rsid w:val="6D3C0581"/>
    <w:rsid w:val="6D4D33D8"/>
    <w:rsid w:val="6D5F080C"/>
    <w:rsid w:val="6D763C20"/>
    <w:rsid w:val="6D77372B"/>
    <w:rsid w:val="6E057DB2"/>
    <w:rsid w:val="6E8408DA"/>
    <w:rsid w:val="6EA079C0"/>
    <w:rsid w:val="6EBE032E"/>
    <w:rsid w:val="6EFB5A89"/>
    <w:rsid w:val="6F073CD2"/>
    <w:rsid w:val="6F184CB4"/>
    <w:rsid w:val="6F4B1FB9"/>
    <w:rsid w:val="6F5D349D"/>
    <w:rsid w:val="6F9C0D1A"/>
    <w:rsid w:val="6FB31727"/>
    <w:rsid w:val="6FCD2D4F"/>
    <w:rsid w:val="6FDC4815"/>
    <w:rsid w:val="6FEC1A9E"/>
    <w:rsid w:val="6FF677BA"/>
    <w:rsid w:val="704A2F79"/>
    <w:rsid w:val="705967D3"/>
    <w:rsid w:val="70641B61"/>
    <w:rsid w:val="71253A25"/>
    <w:rsid w:val="713B2A1B"/>
    <w:rsid w:val="715E0962"/>
    <w:rsid w:val="71794B59"/>
    <w:rsid w:val="71855AEF"/>
    <w:rsid w:val="719D47F2"/>
    <w:rsid w:val="71E02949"/>
    <w:rsid w:val="71E5266B"/>
    <w:rsid w:val="723E0A6C"/>
    <w:rsid w:val="723E572B"/>
    <w:rsid w:val="729329B5"/>
    <w:rsid w:val="72D44160"/>
    <w:rsid w:val="730168D6"/>
    <w:rsid w:val="73867DE4"/>
    <w:rsid w:val="73C86673"/>
    <w:rsid w:val="74CD402D"/>
    <w:rsid w:val="74E21577"/>
    <w:rsid w:val="74E50DAE"/>
    <w:rsid w:val="74EE435D"/>
    <w:rsid w:val="750F227C"/>
    <w:rsid w:val="75181BDD"/>
    <w:rsid w:val="75322959"/>
    <w:rsid w:val="755D6886"/>
    <w:rsid w:val="75853003"/>
    <w:rsid w:val="75A66F64"/>
    <w:rsid w:val="75D43A11"/>
    <w:rsid w:val="75FF68E7"/>
    <w:rsid w:val="76504DA4"/>
    <w:rsid w:val="765336FE"/>
    <w:rsid w:val="76964A01"/>
    <w:rsid w:val="76B34C0F"/>
    <w:rsid w:val="76F25221"/>
    <w:rsid w:val="770C6B71"/>
    <w:rsid w:val="771A18F7"/>
    <w:rsid w:val="77221320"/>
    <w:rsid w:val="77495AB7"/>
    <w:rsid w:val="77AC6BAC"/>
    <w:rsid w:val="77BB1629"/>
    <w:rsid w:val="77EC1C4C"/>
    <w:rsid w:val="78014865"/>
    <w:rsid w:val="78197E01"/>
    <w:rsid w:val="78272F4E"/>
    <w:rsid w:val="78A06277"/>
    <w:rsid w:val="78AD7B0B"/>
    <w:rsid w:val="78E636B9"/>
    <w:rsid w:val="78F13F3B"/>
    <w:rsid w:val="78FE0FC6"/>
    <w:rsid w:val="7A35049E"/>
    <w:rsid w:val="7AAC0AB8"/>
    <w:rsid w:val="7AB64072"/>
    <w:rsid w:val="7B05200B"/>
    <w:rsid w:val="7B181CD7"/>
    <w:rsid w:val="7B2335C6"/>
    <w:rsid w:val="7B503065"/>
    <w:rsid w:val="7B79797E"/>
    <w:rsid w:val="7C1A4147"/>
    <w:rsid w:val="7C405474"/>
    <w:rsid w:val="7C6E6004"/>
    <w:rsid w:val="7C80494F"/>
    <w:rsid w:val="7CF107D5"/>
    <w:rsid w:val="7D4639B2"/>
    <w:rsid w:val="7D4F3293"/>
    <w:rsid w:val="7D6E41A0"/>
    <w:rsid w:val="7D782ED3"/>
    <w:rsid w:val="7DA16201"/>
    <w:rsid w:val="7DA41F1A"/>
    <w:rsid w:val="7E0C6A36"/>
    <w:rsid w:val="7E8104AE"/>
    <w:rsid w:val="7F042C4B"/>
    <w:rsid w:val="7F166E48"/>
    <w:rsid w:val="7F3B68AE"/>
    <w:rsid w:val="7F517EBE"/>
    <w:rsid w:val="7F5E434B"/>
    <w:rsid w:val="7F761695"/>
    <w:rsid w:val="7FBF3B8C"/>
    <w:rsid w:val="7FC20D7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sdException w:qFormat="1" w:uiPriority="0" w:semiHidden="0" w:name="heading 3" w:locked="1"/>
    <w:lsdException w:qFormat="1" w:uiPriority="0" w:name="heading 4" w:locked="1"/>
    <w:lsdException w:qFormat="1" w:uiPriority="0" w:name="heading 5" w:locked="1"/>
    <w:lsdException w:qFormat="1" w:unhideWhenUsed="0" w:uiPriority="99" w:semiHidden="0" w:name="heading 6"/>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40" w:lineRule="exact"/>
      <w:ind w:firstLine="641"/>
      <w:jc w:val="both"/>
    </w:pPr>
    <w:rPr>
      <w:rFonts w:ascii="Times New Roman" w:hAnsi="Times New Roman" w:eastAsia="仿宋_GB2312" w:cs="Times New Roman"/>
      <w:kern w:val="2"/>
      <w:sz w:val="32"/>
      <w:szCs w:val="22"/>
      <w:lang w:val="en-US" w:eastAsia="zh-CN" w:bidi="ar-SA"/>
    </w:rPr>
  </w:style>
  <w:style w:type="paragraph" w:styleId="3">
    <w:name w:val="heading 2"/>
    <w:basedOn w:val="1"/>
    <w:next w:val="1"/>
    <w:link w:val="16"/>
    <w:qFormat/>
    <w:uiPriority w:val="99"/>
    <w:pPr>
      <w:widowControl/>
      <w:spacing w:before="200" w:line="271" w:lineRule="auto"/>
      <w:jc w:val="left"/>
      <w:outlineLvl w:val="1"/>
    </w:pPr>
    <w:rPr>
      <w:rFonts w:ascii="Cambria" w:hAnsi="Cambria"/>
      <w:smallCaps/>
      <w:kern w:val="0"/>
      <w:sz w:val="28"/>
      <w:szCs w:val="28"/>
      <w:lang w:eastAsia="en-US"/>
    </w:rPr>
  </w:style>
  <w:style w:type="paragraph" w:styleId="4">
    <w:name w:val="heading 3"/>
    <w:basedOn w:val="1"/>
    <w:next w:val="1"/>
    <w:link w:val="28"/>
    <w:unhideWhenUsed/>
    <w:qFormat/>
    <w:locked/>
    <w:uiPriority w:val="0"/>
    <w:pPr>
      <w:keepNext/>
      <w:keepLines/>
      <w:spacing w:before="260" w:after="260" w:line="416" w:lineRule="atLeast"/>
      <w:outlineLvl w:val="2"/>
    </w:pPr>
    <w:rPr>
      <w:b/>
      <w:bCs/>
      <w:szCs w:val="32"/>
    </w:rPr>
  </w:style>
  <w:style w:type="paragraph" w:styleId="5">
    <w:name w:val="heading 6"/>
    <w:basedOn w:val="1"/>
    <w:next w:val="1"/>
    <w:link w:val="17"/>
    <w:qFormat/>
    <w:uiPriority w:val="99"/>
    <w:pPr>
      <w:keepNext/>
      <w:keepLines/>
      <w:spacing w:before="240" w:after="64" w:line="320" w:lineRule="auto"/>
      <w:outlineLvl w:val="5"/>
    </w:pPr>
    <w:rPr>
      <w:rFonts w:ascii="Cambria" w:hAnsi="Cambria"/>
      <w:b/>
      <w:bCs/>
      <w:sz w:val="24"/>
      <w:szCs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0"/>
    <w:pPr>
      <w:snapToGrid w:val="0"/>
      <w:spacing w:before="25" w:after="25"/>
    </w:pPr>
    <w:rPr>
      <w:rFonts w:ascii="Calibri" w:hAnsi="Calibri" w:eastAsia="Calibri"/>
      <w:bCs/>
      <w:spacing w:val="10"/>
      <w:sz w:val="24"/>
      <w:szCs w:val="20"/>
      <w:lang w:eastAsia="en-US"/>
    </w:rPr>
  </w:style>
  <w:style w:type="paragraph" w:styleId="6">
    <w:name w:val="annotation text"/>
    <w:basedOn w:val="1"/>
    <w:semiHidden/>
    <w:unhideWhenUsed/>
    <w:qFormat/>
    <w:uiPriority w:val="99"/>
    <w:pPr>
      <w:jc w:val="left"/>
    </w:pPr>
  </w:style>
  <w:style w:type="paragraph" w:styleId="7">
    <w:name w:val="Balloon Text"/>
    <w:basedOn w:val="1"/>
    <w:link w:val="27"/>
    <w:semiHidden/>
    <w:unhideWhenUsed/>
    <w:qFormat/>
    <w:uiPriority w:val="99"/>
    <w:pPr>
      <w:spacing w:line="240" w:lineRule="auto"/>
    </w:pPr>
    <w:rPr>
      <w:sz w:val="18"/>
      <w:szCs w:val="18"/>
    </w:rPr>
  </w:style>
  <w:style w:type="paragraph" w:styleId="8">
    <w:name w:val="footer"/>
    <w:basedOn w:val="1"/>
    <w:link w:val="26"/>
    <w:unhideWhenUsed/>
    <w:qFormat/>
    <w:uiPriority w:val="99"/>
    <w:pPr>
      <w:tabs>
        <w:tab w:val="center" w:pos="4153"/>
        <w:tab w:val="right" w:pos="8306"/>
      </w:tabs>
      <w:snapToGrid w:val="0"/>
      <w:spacing w:line="240" w:lineRule="atLeast"/>
      <w:jc w:val="left"/>
    </w:pPr>
    <w:rPr>
      <w:sz w:val="18"/>
      <w:szCs w:val="18"/>
    </w:rPr>
  </w:style>
  <w:style w:type="paragraph" w:styleId="9">
    <w:name w:val="header"/>
    <w:basedOn w:val="1"/>
    <w:link w:val="25"/>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10">
    <w:name w:val="Subtitle"/>
    <w:basedOn w:val="1"/>
    <w:next w:val="1"/>
    <w:link w:val="29"/>
    <w:qFormat/>
    <w:locked/>
    <w:uiPriority w:val="0"/>
    <w:pPr>
      <w:spacing w:before="240" w:after="60" w:line="312" w:lineRule="auto"/>
      <w:jc w:val="center"/>
      <w:outlineLvl w:val="1"/>
    </w:pPr>
    <w:rPr>
      <w:rFonts w:ascii="Cambria" w:hAnsi="Cambria"/>
      <w:b/>
      <w:bCs/>
      <w:kern w:val="28"/>
      <w:szCs w:val="32"/>
    </w:rPr>
  </w:style>
  <w:style w:type="paragraph" w:styleId="11">
    <w:name w:val="Normal (Web)"/>
    <w:basedOn w:val="1"/>
    <w:semiHidden/>
    <w:unhideWhenUsed/>
    <w:qFormat/>
    <w:uiPriority w:val="99"/>
    <w:pPr>
      <w:spacing w:line="240" w:lineRule="auto"/>
      <w:ind w:firstLine="0"/>
    </w:pPr>
    <w:rPr>
      <w:sz w:val="24"/>
      <w:szCs w:val="24"/>
    </w:rPr>
  </w:style>
  <w:style w:type="table" w:styleId="13">
    <w:name w:val="Table Gri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5">
    <w:name w:val="Strong"/>
    <w:basedOn w:val="14"/>
    <w:qFormat/>
    <w:locked/>
    <w:uiPriority w:val="0"/>
    <w:rPr>
      <w:b/>
    </w:rPr>
  </w:style>
  <w:style w:type="character" w:customStyle="1" w:styleId="16">
    <w:name w:val="标题 2 Char"/>
    <w:basedOn w:val="14"/>
    <w:link w:val="3"/>
    <w:qFormat/>
    <w:uiPriority w:val="99"/>
    <w:rPr>
      <w:rFonts w:ascii="Cambria" w:hAnsi="Cambria" w:eastAsia="宋体" w:cs="Times New Roman"/>
      <w:smallCaps/>
      <w:kern w:val="0"/>
      <w:sz w:val="28"/>
      <w:szCs w:val="28"/>
      <w:lang w:eastAsia="en-US"/>
    </w:rPr>
  </w:style>
  <w:style w:type="character" w:customStyle="1" w:styleId="17">
    <w:name w:val="标题 6 Char"/>
    <w:basedOn w:val="14"/>
    <w:link w:val="5"/>
    <w:qFormat/>
    <w:uiPriority w:val="99"/>
    <w:rPr>
      <w:rFonts w:ascii="Cambria" w:hAnsi="Cambria" w:eastAsia="宋体" w:cs="Times New Roman"/>
      <w:b/>
      <w:bCs/>
      <w:sz w:val="24"/>
      <w:szCs w:val="24"/>
    </w:rPr>
  </w:style>
  <w:style w:type="paragraph" w:styleId="18">
    <w:name w:val="List Paragraph"/>
    <w:basedOn w:val="1"/>
    <w:qFormat/>
    <w:uiPriority w:val="34"/>
    <w:pPr>
      <w:ind w:firstLine="420"/>
    </w:pPr>
  </w:style>
  <w:style w:type="paragraph" w:customStyle="1" w:styleId="19">
    <w:name w:val="三级标题"/>
    <w:basedOn w:val="1"/>
    <w:link w:val="20"/>
    <w:qFormat/>
    <w:uiPriority w:val="0"/>
    <w:pPr>
      <w:spacing w:beforeLines="500" w:afterLines="150"/>
    </w:pPr>
    <w:rPr>
      <w:rFonts w:ascii="方正小标宋简体" w:eastAsia="方正小标宋简体"/>
      <w:sz w:val="36"/>
      <w:szCs w:val="36"/>
    </w:rPr>
  </w:style>
  <w:style w:type="character" w:customStyle="1" w:styleId="20">
    <w:name w:val="三级标题 Char"/>
    <w:basedOn w:val="14"/>
    <w:link w:val="19"/>
    <w:qFormat/>
    <w:uiPriority w:val="0"/>
    <w:rPr>
      <w:rFonts w:ascii="方正小标宋简体" w:eastAsia="方正小标宋简体"/>
      <w:kern w:val="2"/>
      <w:sz w:val="36"/>
      <w:szCs w:val="36"/>
    </w:rPr>
  </w:style>
  <w:style w:type="paragraph" w:customStyle="1" w:styleId="21">
    <w:name w:val="四级标题"/>
    <w:basedOn w:val="1"/>
    <w:link w:val="22"/>
    <w:qFormat/>
    <w:uiPriority w:val="0"/>
    <w:pPr>
      <w:ind w:firstLine="480"/>
    </w:pPr>
    <w:rPr>
      <w:rFonts w:ascii="黑体" w:eastAsia="黑体"/>
      <w:sz w:val="24"/>
      <w:szCs w:val="24"/>
    </w:rPr>
  </w:style>
  <w:style w:type="character" w:customStyle="1" w:styleId="22">
    <w:name w:val="四级标题 Char"/>
    <w:basedOn w:val="14"/>
    <w:link w:val="21"/>
    <w:qFormat/>
    <w:uiPriority w:val="0"/>
    <w:rPr>
      <w:rFonts w:ascii="黑体" w:eastAsia="黑体"/>
      <w:sz w:val="24"/>
      <w:szCs w:val="24"/>
    </w:rPr>
  </w:style>
  <w:style w:type="paragraph" w:customStyle="1" w:styleId="23">
    <w:name w:val="标题四"/>
    <w:basedOn w:val="21"/>
    <w:link w:val="24"/>
    <w:qFormat/>
    <w:uiPriority w:val="0"/>
  </w:style>
  <w:style w:type="character" w:customStyle="1" w:styleId="24">
    <w:name w:val="标题四 Char"/>
    <w:basedOn w:val="22"/>
    <w:link w:val="23"/>
    <w:qFormat/>
    <w:uiPriority w:val="0"/>
    <w:rPr>
      <w:rFonts w:ascii="黑体" w:eastAsia="黑体"/>
      <w:sz w:val="24"/>
      <w:szCs w:val="24"/>
    </w:rPr>
  </w:style>
  <w:style w:type="character" w:customStyle="1" w:styleId="25">
    <w:name w:val="页眉 Char"/>
    <w:basedOn w:val="14"/>
    <w:link w:val="9"/>
    <w:qFormat/>
    <w:uiPriority w:val="99"/>
    <w:rPr>
      <w:sz w:val="18"/>
      <w:szCs w:val="18"/>
    </w:rPr>
  </w:style>
  <w:style w:type="character" w:customStyle="1" w:styleId="26">
    <w:name w:val="页脚 Char"/>
    <w:basedOn w:val="14"/>
    <w:link w:val="8"/>
    <w:qFormat/>
    <w:uiPriority w:val="99"/>
    <w:rPr>
      <w:sz w:val="18"/>
      <w:szCs w:val="18"/>
    </w:rPr>
  </w:style>
  <w:style w:type="character" w:customStyle="1" w:styleId="27">
    <w:name w:val="批注框文本 Char"/>
    <w:basedOn w:val="14"/>
    <w:link w:val="7"/>
    <w:semiHidden/>
    <w:qFormat/>
    <w:uiPriority w:val="99"/>
    <w:rPr>
      <w:rFonts w:ascii="Times New Roman" w:hAnsi="Times New Roman" w:eastAsia="仿宋_GB2312"/>
      <w:sz w:val="18"/>
      <w:szCs w:val="18"/>
    </w:rPr>
  </w:style>
  <w:style w:type="character" w:customStyle="1" w:styleId="28">
    <w:name w:val="标题 3 Char"/>
    <w:basedOn w:val="14"/>
    <w:link w:val="4"/>
    <w:qFormat/>
    <w:uiPriority w:val="0"/>
    <w:rPr>
      <w:rFonts w:ascii="Times New Roman" w:hAnsi="Times New Roman" w:eastAsia="仿宋_GB2312" w:cs="Times New Roman"/>
      <w:b/>
      <w:bCs/>
      <w:kern w:val="2"/>
      <w:sz w:val="32"/>
      <w:szCs w:val="32"/>
    </w:rPr>
  </w:style>
  <w:style w:type="character" w:customStyle="1" w:styleId="29">
    <w:name w:val="副标题 Char"/>
    <w:basedOn w:val="14"/>
    <w:link w:val="10"/>
    <w:qFormat/>
    <w:uiPriority w:val="0"/>
    <w:rPr>
      <w:rFonts w:ascii="Cambria" w:hAnsi="Cambria" w:eastAsia="仿宋_GB2312" w:cs="Times New Roman"/>
      <w:b/>
      <w:bCs/>
      <w:kern w:val="28"/>
      <w:sz w:val="32"/>
      <w:szCs w:val="32"/>
    </w:rPr>
  </w:style>
  <w:style w:type="paragraph" w:customStyle="1" w:styleId="30">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10</Pages>
  <Words>5441</Words>
  <Characters>5579</Characters>
  <Lines>40</Lines>
  <Paragraphs>11</Paragraphs>
  <TotalTime>2</TotalTime>
  <ScaleCrop>false</ScaleCrop>
  <LinksUpToDate>false</LinksUpToDate>
  <CharactersWithSpaces>5606</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2024-05-16T01:33:00Z</dcterms:created>
  <dc:creator>Sky123.Org</dc:creator>
  <cp:lastModifiedBy>Administrator</cp:lastModifiedBy>
  <cp:lastPrinted>2025-10-27T10:12:00Z</cp:lastPrinted>
  <dcterms:modified xsi:type="dcterms:W3CDTF">2026-10-22T02:20:06Z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F9C45E81E04D4257B6E35EA51D35A40D_13</vt:lpwstr>
  </property>
  <property fmtid="{D5CDD505-2E9C-101B-9397-08002B2CF9AE}" pid="4" name="KSOTemplateDocerSaveRecord">
    <vt:lpwstr>eyJoZGlkIjoiNjg0NzQ0NmNmYjlhYmM0NDBmZTg1MDM0MTljOTVkODIiLCJ1c2VySWQiOiI0MjMyNjgyNDAifQ==</vt:lpwstr>
  </property>
</Properties>
</file>