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A1BFC">
      <w:pPr>
        <w:wordWrap/>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4:</w:t>
      </w:r>
    </w:p>
    <w:p w14:paraId="33549977">
      <w:pPr>
        <w:wordWrap/>
        <w:jc w:val="center"/>
        <w:rPr>
          <w:rFonts w:hint="eastAsia" w:ascii="仿宋" w:hAnsi="仿宋" w:eastAsia="仿宋" w:cs="仿宋"/>
          <w:sz w:val="32"/>
          <w:szCs w:val="32"/>
        </w:rPr>
      </w:pPr>
      <w:r>
        <w:rPr>
          <w:rFonts w:hint="eastAsia" w:ascii="仿宋" w:hAnsi="仿宋" w:eastAsia="仿宋" w:cs="仿宋"/>
          <w:sz w:val="32"/>
          <w:szCs w:val="32"/>
          <w:lang w:val="en-US" w:eastAsia="zh-CN"/>
        </w:rPr>
        <w:t>梅州市人民医院卷帘及隔热膜等</w:t>
      </w:r>
      <w:r>
        <w:rPr>
          <w:rFonts w:hint="eastAsia" w:ascii="仿宋" w:hAnsi="仿宋" w:eastAsia="仿宋" w:cs="仿宋"/>
          <w:sz w:val="32"/>
          <w:szCs w:val="32"/>
          <w:lang w:val="en-US" w:eastAsia="zh-CN"/>
        </w:rPr>
        <w:t>采购项目</w:t>
      </w:r>
      <w:r>
        <w:rPr>
          <w:rFonts w:hint="eastAsia" w:ascii="仿宋" w:hAnsi="仿宋" w:eastAsia="仿宋" w:cs="仿宋"/>
          <w:sz w:val="32"/>
          <w:szCs w:val="32"/>
        </w:rPr>
        <w:t>洽谈评审规则</w:t>
      </w:r>
      <w:bookmarkStart w:id="0" w:name="_GoBack"/>
      <w:bookmarkEnd w:id="0"/>
    </w:p>
    <w:tbl>
      <w:tblPr>
        <w:tblStyle w:val="2"/>
        <w:tblpPr w:leftFromText="180" w:rightFromText="180" w:vertAnchor="text" w:horzAnchor="page" w:tblpX="1616" w:tblpY="693"/>
        <w:tblOverlap w:val="never"/>
        <w:tblW w:w="1385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11"/>
        <w:gridCol w:w="12846"/>
      </w:tblGrid>
      <w:tr w14:paraId="17344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1011" w:type="dxa"/>
            <w:vAlign w:val="center"/>
          </w:tcPr>
          <w:p w14:paraId="62347F34">
            <w:pPr>
              <w:snapToGrid w:val="0"/>
              <w:spacing w:line="276" w:lineRule="auto"/>
              <w:ind w:firstLine="0"/>
              <w:jc w:val="center"/>
              <w:rPr>
                <w:rFonts w:ascii="仿宋" w:hAnsi="仿宋" w:eastAsia="仿宋"/>
                <w:sz w:val="28"/>
                <w:szCs w:val="28"/>
              </w:rPr>
            </w:pPr>
            <w:r>
              <w:rPr>
                <w:rFonts w:hint="eastAsia" w:ascii="仿宋" w:hAnsi="仿宋" w:eastAsia="仿宋"/>
                <w:sz w:val="28"/>
                <w:szCs w:val="28"/>
              </w:rPr>
              <w:t>评审规则</w:t>
            </w:r>
          </w:p>
        </w:tc>
        <w:tc>
          <w:tcPr>
            <w:tcW w:w="12846" w:type="dxa"/>
            <w:vAlign w:val="center"/>
          </w:tcPr>
          <w:p w14:paraId="022D69D0">
            <w:pPr>
              <w:snapToGrid w:val="0"/>
              <w:spacing w:line="276" w:lineRule="auto"/>
              <w:rPr>
                <w:rFonts w:ascii="仿宋" w:hAnsi="仿宋" w:eastAsia="仿宋"/>
                <w:sz w:val="28"/>
                <w:szCs w:val="28"/>
              </w:rPr>
            </w:pPr>
            <w:r>
              <w:rPr>
                <w:rFonts w:hint="eastAsia" w:ascii="仿宋" w:hAnsi="仿宋" w:eastAsia="仿宋"/>
                <w:sz w:val="28"/>
                <w:szCs w:val="28"/>
              </w:rPr>
              <w:t>（1）评标方法：</w:t>
            </w:r>
            <w:r>
              <w:rPr>
                <w:rFonts w:hint="eastAsia" w:ascii="仿宋" w:hAnsi="仿宋" w:eastAsia="仿宋"/>
                <w:sz w:val="28"/>
                <w:szCs w:val="28"/>
                <w:lang w:eastAsia="zh-CN"/>
              </w:rPr>
              <w:t>☑</w:t>
            </w:r>
            <w:r>
              <w:rPr>
                <w:rFonts w:hint="eastAsia" w:ascii="仿宋" w:hAnsi="仿宋" w:eastAsia="仿宋"/>
                <w:sz w:val="28"/>
                <w:szCs w:val="28"/>
              </w:rPr>
              <w:t>综合评分法、</w:t>
            </w:r>
            <w:r>
              <w:rPr>
                <w:rFonts w:hint="eastAsia" w:ascii="仿宋" w:hAnsi="仿宋" w:eastAsia="仿宋"/>
                <w:sz w:val="28"/>
                <w:szCs w:val="28"/>
                <w:lang w:eastAsia="zh-CN"/>
              </w:rPr>
              <w:t>□</w:t>
            </w:r>
            <w:r>
              <w:rPr>
                <w:rFonts w:hint="eastAsia" w:ascii="仿宋" w:hAnsi="仿宋" w:eastAsia="仿宋"/>
                <w:sz w:val="28"/>
                <w:szCs w:val="28"/>
              </w:rPr>
              <w:t>最低评标价法</w:t>
            </w:r>
          </w:p>
          <w:p w14:paraId="6887B107">
            <w:pPr>
              <w:snapToGrid w:val="0"/>
              <w:spacing w:line="276" w:lineRule="auto"/>
              <w:rPr>
                <w:rFonts w:ascii="仿宋" w:hAnsi="仿宋" w:eastAsia="仿宋"/>
                <w:sz w:val="28"/>
                <w:szCs w:val="28"/>
              </w:rPr>
            </w:pPr>
            <w:r>
              <w:rPr>
                <w:rFonts w:hint="eastAsia" w:ascii="仿宋" w:hAnsi="仿宋" w:eastAsia="仿宋"/>
                <w:sz w:val="28"/>
                <w:szCs w:val="28"/>
              </w:rPr>
              <w:t>（2）推荐中标候选人方式：</w:t>
            </w:r>
          </w:p>
          <w:p w14:paraId="1FA4A493">
            <w:pPr>
              <w:snapToGrid w:val="0"/>
              <w:spacing w:line="276" w:lineRule="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方式一：综合评分法：推荐综合得分排名第一的投标人为第一中标候选人，排名第二的投标人为第二中标候选人，排名第三的投标人为第三中标候选人。</w:t>
            </w:r>
          </w:p>
          <w:p w14:paraId="13FC05A7">
            <w:pPr>
              <w:snapToGrid w:val="0"/>
              <w:spacing w:line="276" w:lineRule="auto"/>
              <w:rPr>
                <w:rFonts w:hint="eastAsia" w:ascii="仿宋" w:hAnsi="仿宋" w:eastAsia="仿宋" w:cs="仿宋"/>
                <w:color w:val="auto"/>
                <w:sz w:val="32"/>
                <w:szCs w:val="32"/>
                <w:highlight w:val="none"/>
              </w:rPr>
            </w:pPr>
            <w:r>
              <w:rPr>
                <w:rFonts w:hint="eastAsia" w:ascii="仿宋" w:hAnsi="仿宋" w:eastAsia="仿宋"/>
                <w:sz w:val="28"/>
                <w:szCs w:val="28"/>
                <w:lang w:eastAsia="zh-CN"/>
              </w:rPr>
              <w:t>□</w:t>
            </w:r>
            <w:r>
              <w:rPr>
                <w:rFonts w:hint="eastAsia" w:ascii="仿宋" w:hAnsi="仿宋" w:eastAsia="仿宋"/>
                <w:sz w:val="28"/>
                <w:szCs w:val="28"/>
              </w:rPr>
              <w:t>方式二：最低评标价法：</w:t>
            </w:r>
            <w:r>
              <w:rPr>
                <w:rFonts w:hint="eastAsia" w:ascii="仿宋" w:hAnsi="仿宋" w:eastAsia="仿宋"/>
                <w:sz w:val="28"/>
                <w:szCs w:val="28"/>
                <w:lang w:val="en-US" w:eastAsia="zh-CN"/>
              </w:rPr>
              <w:t>本项目按整体报价折扣率</w:t>
            </w:r>
            <w:r>
              <w:rPr>
                <w:rFonts w:hint="eastAsia" w:ascii="仿宋" w:hAnsi="仿宋" w:eastAsia="仿宋"/>
                <w:sz w:val="28"/>
                <w:szCs w:val="28"/>
                <w:u w:val="single"/>
                <w:lang w:val="en-US" w:eastAsia="zh-CN"/>
              </w:rPr>
              <w:t xml:space="preserve">    </w:t>
            </w:r>
            <w:r>
              <w:rPr>
                <w:rFonts w:hint="eastAsia" w:ascii="仿宋" w:hAnsi="仿宋" w:eastAsia="仿宋"/>
                <w:sz w:val="28"/>
                <w:szCs w:val="28"/>
                <w:lang w:val="en-US" w:eastAsia="zh-CN"/>
              </w:rPr>
              <w:t>％形式，以预算上限单价为基准价整体打折，</w:t>
            </w:r>
            <w:r>
              <w:rPr>
                <w:rFonts w:hint="eastAsia" w:ascii="仿宋" w:hAnsi="仿宋" w:eastAsia="仿宋"/>
                <w:sz w:val="28"/>
                <w:szCs w:val="28"/>
              </w:rPr>
              <w:t>不允许仅对其中部分内容进行报价。投标折扣率在0%～100%之间，以百分比表示。投标折扣率必须为具体值，不得为区间值，不能为负数，且固定唯一。</w:t>
            </w:r>
            <w:r>
              <w:rPr>
                <w:rFonts w:hint="eastAsia" w:ascii="仿宋" w:hAnsi="仿宋" w:eastAsia="仿宋"/>
                <w:sz w:val="28"/>
                <w:szCs w:val="28"/>
                <w:lang w:val="en-US" w:eastAsia="zh-CN"/>
              </w:rPr>
              <w:t>折扣后单价</w:t>
            </w:r>
            <w:r>
              <w:rPr>
                <w:rFonts w:hint="eastAsia" w:ascii="仿宋" w:hAnsi="仿宋" w:eastAsia="仿宋"/>
                <w:sz w:val="28"/>
                <w:szCs w:val="28"/>
              </w:rPr>
              <w:t>=预算上限单价×中标折扣率</w:t>
            </w:r>
            <w:r>
              <w:rPr>
                <w:rFonts w:hint="eastAsia" w:ascii="仿宋" w:hAnsi="仿宋" w:eastAsia="仿宋"/>
                <w:sz w:val="28"/>
                <w:szCs w:val="28"/>
                <w:lang w:eastAsia="zh-CN"/>
              </w:rPr>
              <w:t>（</w:t>
            </w:r>
            <w:r>
              <w:rPr>
                <w:rFonts w:hint="eastAsia" w:ascii="仿宋" w:hAnsi="仿宋" w:eastAsia="仿宋"/>
                <w:sz w:val="28"/>
                <w:szCs w:val="28"/>
                <w:lang w:val="en-US" w:eastAsia="zh-CN"/>
              </w:rPr>
              <w:t>保留小数点后2位，舍去第三位</w:t>
            </w:r>
            <w:r>
              <w:rPr>
                <w:rFonts w:hint="eastAsia" w:ascii="仿宋" w:hAnsi="仿宋" w:eastAsia="仿宋"/>
                <w:sz w:val="28"/>
                <w:szCs w:val="28"/>
                <w:lang w:eastAsia="zh-CN"/>
              </w:rPr>
              <w:t>）</w:t>
            </w:r>
            <w:r>
              <w:rPr>
                <w:rFonts w:hint="eastAsia" w:ascii="仿宋" w:hAnsi="仿宋" w:eastAsia="仿宋"/>
                <w:sz w:val="28"/>
                <w:szCs w:val="28"/>
              </w:rPr>
              <w:t>。</w:t>
            </w:r>
          </w:p>
          <w:p w14:paraId="7269C8D0">
            <w:pPr>
              <w:snapToGrid w:val="0"/>
              <w:spacing w:line="276" w:lineRule="auto"/>
              <w:rPr>
                <w:rFonts w:hint="eastAsia" w:ascii="仿宋" w:hAnsi="仿宋" w:eastAsia="仿宋" w:cs="仿宋"/>
                <w:color w:val="auto"/>
                <w:sz w:val="32"/>
                <w:szCs w:val="32"/>
                <w:highlight w:val="none"/>
                <w:lang w:val="en-US" w:eastAsia="zh-CN"/>
              </w:rPr>
            </w:pPr>
            <w:r>
              <w:rPr>
                <w:rFonts w:hint="eastAsia" w:ascii="仿宋" w:hAnsi="仿宋" w:eastAsia="仿宋"/>
                <w:sz w:val="28"/>
                <w:szCs w:val="28"/>
              </w:rPr>
              <w:t>（3）中标人的确定：</w:t>
            </w:r>
            <w:r>
              <w:rPr>
                <w:rFonts w:hint="eastAsia" w:ascii="仿宋" w:hAnsi="仿宋" w:eastAsia="仿宋"/>
                <w:sz w:val="28"/>
                <w:szCs w:val="28"/>
                <w:lang w:val="en-US" w:eastAsia="zh-CN"/>
              </w:rPr>
              <w:t>按照投标报价由高到低的顺序推荐中标候选人，折扣率最高的为中标人。</w:t>
            </w:r>
          </w:p>
          <w:p w14:paraId="3A40B398">
            <w:pPr>
              <w:snapToGrid w:val="0"/>
              <w:spacing w:line="276" w:lineRule="auto"/>
              <w:rPr>
                <w:rFonts w:ascii="仿宋" w:hAnsi="仿宋" w:eastAsia="仿宋"/>
                <w:sz w:val="28"/>
                <w:szCs w:val="28"/>
              </w:rPr>
            </w:pPr>
            <w:r>
              <w:rPr>
                <w:rFonts w:hint="eastAsia" w:ascii="仿宋" w:hAnsi="仿宋" w:eastAsia="仿宋"/>
                <w:sz w:val="28"/>
                <w:szCs w:val="28"/>
              </w:rPr>
              <w:t>中标候选人并列的，由采购人采取下述方式确定中标人。</w:t>
            </w:r>
          </w:p>
          <w:p w14:paraId="75504E4C">
            <w:pPr>
              <w:snapToGrid w:val="0"/>
              <w:spacing w:line="276" w:lineRule="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方式一：随机抽取；</w:t>
            </w:r>
          </w:p>
          <w:p w14:paraId="5E2A7B0B">
            <w:pPr>
              <w:snapToGrid w:val="0"/>
              <w:spacing w:line="276" w:lineRule="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rPr>
              <w:t>方式二：按</w:t>
            </w:r>
            <w:r>
              <w:rPr>
                <w:rFonts w:hint="eastAsia" w:ascii="仿宋" w:hAnsi="仿宋" w:eastAsia="仿宋"/>
                <w:b/>
                <w:bCs/>
                <w:color w:val="auto"/>
                <w:sz w:val="28"/>
                <w:szCs w:val="28"/>
              </w:rPr>
              <w:t>技术</w:t>
            </w:r>
            <w:r>
              <w:rPr>
                <w:rFonts w:hint="eastAsia" w:ascii="仿宋" w:hAnsi="仿宋" w:eastAsia="仿宋"/>
                <w:sz w:val="28"/>
                <w:szCs w:val="28"/>
              </w:rPr>
              <w:t>部分得分高低顺序。</w:t>
            </w:r>
          </w:p>
          <w:p w14:paraId="56B5AE28">
            <w:pPr>
              <w:numPr>
                <w:ilvl w:val="0"/>
                <w:numId w:val="1"/>
              </w:numPr>
              <w:rPr>
                <w:rFonts w:hint="eastAsia" w:ascii="仿宋" w:hAnsi="仿宋" w:eastAsia="仿宋"/>
                <w:sz w:val="28"/>
                <w:szCs w:val="28"/>
              </w:rPr>
            </w:pPr>
            <w:r>
              <w:rPr>
                <w:rFonts w:hint="eastAsia" w:ascii="仿宋" w:hAnsi="仿宋" w:eastAsia="仿宋"/>
                <w:sz w:val="28"/>
                <w:szCs w:val="28"/>
              </w:rPr>
              <w:t>评审因素及对应的分值、权重：</w:t>
            </w:r>
          </w:p>
          <w:p w14:paraId="5BD1B14B">
            <w:pPr>
              <w:numPr>
                <w:ilvl w:val="0"/>
                <w:numId w:val="0"/>
              </w:numPr>
              <w:rPr>
                <w:rFonts w:hint="eastAsia" w:ascii="仿宋" w:hAnsi="仿宋" w:eastAsia="仿宋" w:cs="仿宋"/>
                <w:b/>
                <w:sz w:val="24"/>
                <w:szCs w:val="24"/>
              </w:rPr>
            </w:pPr>
            <w:r>
              <w:rPr>
                <w:rFonts w:hint="eastAsia" w:ascii="仿宋" w:hAnsi="仿宋" w:eastAsia="仿宋" w:cs="仿宋"/>
                <w:b/>
                <w:sz w:val="24"/>
                <w:szCs w:val="24"/>
              </w:rPr>
              <w:t>一、价格部分（30分）</w:t>
            </w:r>
          </w:p>
          <w:p w14:paraId="3C103C84">
            <w:pPr>
              <w:snapToGrid w:val="0"/>
              <w:spacing w:line="276" w:lineRule="auto"/>
              <w:ind w:left="0" w:leftChars="0"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投标报价得分＝（评标基准价/投标报价）×价格分值【注：满足招标文件要求且投标价格最低的投标报价为评标基准价。】最低报价不是中标的唯一依据。</w:t>
            </w:r>
          </w:p>
          <w:p w14:paraId="54471249">
            <w:pPr>
              <w:snapToGrid w:val="0"/>
              <w:spacing w:line="276" w:lineRule="auto"/>
              <w:ind w:left="0" w:leftChars="0" w:firstLine="0" w:firstLineChars="0"/>
              <w:rPr>
                <w:rFonts w:hint="eastAsia" w:ascii="仿宋" w:hAnsi="仿宋" w:eastAsia="仿宋"/>
                <w:sz w:val="28"/>
                <w:szCs w:val="28"/>
                <w:lang w:eastAsia="zh-CN"/>
              </w:rPr>
            </w:pPr>
            <w:r>
              <w:rPr>
                <w:rFonts w:hint="eastAsia" w:ascii="仿宋" w:hAnsi="仿宋" w:eastAsia="仿宋"/>
                <w:sz w:val="28"/>
                <w:szCs w:val="28"/>
                <w:lang w:eastAsia="zh-CN"/>
              </w:rPr>
              <w:t>二、商务技术部分（70分）</w:t>
            </w:r>
          </w:p>
          <w:tbl>
            <w:tblPr>
              <w:tblStyle w:val="2"/>
              <w:tblW w:w="12609" w:type="dxa"/>
              <w:jc w:val="center"/>
              <w:tblLayout w:type="fixed"/>
              <w:tblCellMar>
                <w:top w:w="0" w:type="dxa"/>
                <w:left w:w="108" w:type="dxa"/>
                <w:bottom w:w="0" w:type="dxa"/>
                <w:right w:w="108" w:type="dxa"/>
              </w:tblCellMar>
            </w:tblPr>
            <w:tblGrid>
              <w:gridCol w:w="676"/>
              <w:gridCol w:w="1162"/>
              <w:gridCol w:w="878"/>
              <w:gridCol w:w="9893"/>
            </w:tblGrid>
            <w:tr w14:paraId="4ADCFE54">
              <w:tblPrEx>
                <w:tblCellMar>
                  <w:top w:w="0" w:type="dxa"/>
                  <w:left w:w="108" w:type="dxa"/>
                  <w:bottom w:w="0" w:type="dxa"/>
                  <w:right w:w="108" w:type="dxa"/>
                </w:tblCellMar>
              </w:tblPrEx>
              <w:trPr>
                <w:trHeight w:val="371"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4E205C48">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序号</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EA4E26A">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评审项目</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352AEC88">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分值</w:t>
                  </w:r>
                </w:p>
              </w:tc>
              <w:tc>
                <w:tcPr>
                  <w:tcW w:w="9893" w:type="dxa"/>
                  <w:tcBorders>
                    <w:top w:val="single" w:color="000000" w:sz="4" w:space="0"/>
                    <w:left w:val="single" w:color="000000" w:sz="4" w:space="0"/>
                    <w:bottom w:val="single" w:color="000000" w:sz="4" w:space="0"/>
                    <w:right w:val="single" w:color="000000" w:sz="4" w:space="0"/>
                  </w:tcBorders>
                  <w:noWrap/>
                  <w:vAlign w:val="center"/>
                </w:tcPr>
                <w:p w14:paraId="6ADC66D5">
                  <w:pPr>
                    <w:snapToGrid w:val="0"/>
                    <w:spacing w:line="276" w:lineRule="auto"/>
                    <w:rPr>
                      <w:rFonts w:hint="eastAsia" w:ascii="仿宋" w:hAnsi="仿宋" w:eastAsia="仿宋"/>
                      <w:sz w:val="28"/>
                      <w:szCs w:val="28"/>
                    </w:rPr>
                  </w:pPr>
                  <w:r>
                    <w:rPr>
                      <w:rFonts w:hint="eastAsia" w:ascii="仿宋" w:hAnsi="仿宋" w:eastAsia="仿宋"/>
                      <w:sz w:val="28"/>
                      <w:szCs w:val="28"/>
                    </w:rPr>
                    <w:t>评分标准</w:t>
                  </w:r>
                </w:p>
              </w:tc>
            </w:tr>
            <w:tr w14:paraId="1FB95448">
              <w:tblPrEx>
                <w:tblCellMar>
                  <w:top w:w="0" w:type="dxa"/>
                  <w:left w:w="108" w:type="dxa"/>
                  <w:bottom w:w="0" w:type="dxa"/>
                  <w:right w:w="108" w:type="dxa"/>
                </w:tblCellMar>
              </w:tblPrEx>
              <w:trPr>
                <w:trHeight w:val="1423"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11761288">
                  <w:pPr>
                    <w:snapToGrid w:val="0"/>
                    <w:spacing w:line="276" w:lineRule="auto"/>
                    <w:rPr>
                      <w:rFonts w:hint="eastAsia" w:ascii="仿宋" w:hAnsi="仿宋" w:eastAsia="仿宋"/>
                      <w:sz w:val="28"/>
                      <w:szCs w:val="28"/>
                    </w:rPr>
                  </w:pPr>
                  <w:r>
                    <w:rPr>
                      <w:rFonts w:hint="eastAsia" w:ascii="仿宋" w:hAnsi="仿宋" w:eastAsia="仿宋"/>
                      <w:sz w:val="28"/>
                      <w:szCs w:val="28"/>
                    </w:rPr>
                    <w:t>1</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34FA026">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响应情况</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D431741">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3</w:t>
                  </w:r>
                  <w:r>
                    <w:rPr>
                      <w:rFonts w:hint="eastAsia" w:ascii="仿宋" w:hAnsi="仿宋" w:eastAsia="仿宋"/>
                      <w:sz w:val="28"/>
                      <w:szCs w:val="28"/>
                    </w:rPr>
                    <w:t>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459A2828">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eastAsia="zh-CN"/>
                    </w:rPr>
                    <w:t>投标人对</w:t>
                  </w:r>
                  <w:r>
                    <w:rPr>
                      <w:rFonts w:hint="eastAsia" w:ascii="仿宋" w:hAnsi="仿宋" w:eastAsia="仿宋" w:cs="Times New Roman"/>
                      <w:sz w:val="28"/>
                      <w:szCs w:val="28"/>
                      <w:lang w:val="en-US" w:eastAsia="zh-CN"/>
                    </w:rPr>
                    <w:t>《</w:t>
                  </w:r>
                  <w:r>
                    <w:rPr>
                      <w:rFonts w:hint="eastAsia" w:ascii="仿宋" w:hAnsi="仿宋" w:eastAsia="仿宋"/>
                      <w:sz w:val="28"/>
                      <w:szCs w:val="28"/>
                    </w:rPr>
                    <w:t>梅州市人民医院卷帘及隔热膜采购项目采购预算清单</w:t>
                  </w:r>
                  <w:r>
                    <w:rPr>
                      <w:rFonts w:hint="eastAsia" w:ascii="仿宋" w:hAnsi="仿宋" w:eastAsia="仿宋" w:cs="Times New Roman"/>
                      <w:sz w:val="28"/>
                      <w:szCs w:val="28"/>
                      <w:lang w:val="en-US" w:eastAsia="zh-CN"/>
                    </w:rPr>
                    <w:t>》中的</w:t>
                  </w:r>
                  <w:r>
                    <w:rPr>
                      <w:rFonts w:hint="eastAsia" w:ascii="仿宋" w:hAnsi="仿宋" w:eastAsia="仿宋" w:cs="Times New Roman"/>
                      <w:sz w:val="28"/>
                      <w:szCs w:val="28"/>
                      <w:lang w:eastAsia="zh-CN"/>
                    </w:rPr>
                    <w:t>“产</w:t>
                  </w:r>
                  <w:r>
                    <w:rPr>
                      <w:rFonts w:hint="eastAsia" w:ascii="仿宋" w:hAnsi="仿宋" w:eastAsia="仿宋"/>
                      <w:sz w:val="28"/>
                      <w:szCs w:val="28"/>
                      <w:lang w:eastAsia="zh-CN"/>
                    </w:rPr>
                    <w:t>品技术参数”响应情况：全部满足“产品技术参数”的，得</w:t>
                  </w:r>
                  <w:r>
                    <w:rPr>
                      <w:rFonts w:hint="eastAsia" w:ascii="仿宋" w:hAnsi="仿宋" w:eastAsia="仿宋"/>
                      <w:sz w:val="28"/>
                      <w:szCs w:val="28"/>
                      <w:lang w:val="en-US" w:eastAsia="zh-CN"/>
                    </w:rPr>
                    <w:t>13</w:t>
                  </w:r>
                  <w:r>
                    <w:rPr>
                      <w:rFonts w:hint="eastAsia" w:ascii="仿宋" w:hAnsi="仿宋" w:eastAsia="仿宋"/>
                      <w:sz w:val="28"/>
                      <w:szCs w:val="28"/>
                      <w:lang w:eastAsia="zh-CN"/>
                    </w:rPr>
                    <w:t>分，每有一项负偏离的，扣1分，本项最多扣1</w:t>
                  </w:r>
                  <w:r>
                    <w:rPr>
                      <w:rFonts w:hint="eastAsia" w:ascii="仿宋" w:hAnsi="仿宋" w:eastAsia="仿宋"/>
                      <w:sz w:val="28"/>
                      <w:szCs w:val="28"/>
                      <w:lang w:val="en-US" w:eastAsia="zh-CN"/>
                    </w:rPr>
                    <w:t>3</w:t>
                  </w:r>
                  <w:r>
                    <w:rPr>
                      <w:rFonts w:hint="eastAsia" w:ascii="仿宋" w:hAnsi="仿宋" w:eastAsia="仿宋"/>
                      <w:sz w:val="28"/>
                      <w:szCs w:val="28"/>
                      <w:lang w:eastAsia="zh-CN"/>
                    </w:rPr>
                    <w:t>分。以最细一级条款作为单项条款，含有下一级条款且本身仅作为标题的不计入条款数量。</w:t>
                  </w:r>
                </w:p>
              </w:tc>
            </w:tr>
            <w:tr w14:paraId="29F48ADD">
              <w:tblPrEx>
                <w:tblCellMar>
                  <w:top w:w="0" w:type="dxa"/>
                  <w:left w:w="108" w:type="dxa"/>
                  <w:bottom w:w="0" w:type="dxa"/>
                  <w:right w:w="108" w:type="dxa"/>
                </w:tblCellMar>
              </w:tblPrEx>
              <w:trPr>
                <w:trHeight w:val="892"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7E046CBB">
                  <w:pPr>
                    <w:snapToGrid w:val="0"/>
                    <w:spacing w:line="276" w:lineRule="auto"/>
                    <w:rPr>
                      <w:rFonts w:hint="eastAsia" w:ascii="仿宋" w:hAnsi="仿宋" w:eastAsia="仿宋"/>
                      <w:sz w:val="28"/>
                      <w:szCs w:val="28"/>
                    </w:rPr>
                  </w:pPr>
                  <w:r>
                    <w:rPr>
                      <w:rFonts w:hint="eastAsia" w:ascii="仿宋" w:hAnsi="仿宋" w:eastAsia="仿宋"/>
                      <w:sz w:val="28"/>
                      <w:szCs w:val="28"/>
                    </w:rPr>
                    <w:t>2</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C95952E">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项目实施供货方案</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1259846D">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12分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5A9F3418">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投标人根据本项目特点，提供项目实施供货方案，包含但不仅限于：①实施供货计划、②供应进度安排、③人员安排组织；④供应货物质量保障、</w:t>
                  </w:r>
                  <w:r>
                    <w:rPr>
                      <w:rFonts w:hint="eastAsia" w:ascii="仿宋" w:hAnsi="仿宋" w:eastAsia="仿宋"/>
                      <w:sz w:val="28"/>
                      <w:szCs w:val="28"/>
                    </w:rPr>
                    <w:fldChar w:fldCharType="begin"/>
                  </w:r>
                  <w:r>
                    <w:rPr>
                      <w:rFonts w:hint="eastAsia" w:ascii="仿宋" w:hAnsi="仿宋" w:eastAsia="仿宋"/>
                      <w:sz w:val="28"/>
                      <w:szCs w:val="28"/>
                    </w:rPr>
                    <w:instrText xml:space="preserve"> = 5 \* GB3 \* MERGEFORMAT </w:instrText>
                  </w:r>
                  <w:r>
                    <w:rPr>
                      <w:rFonts w:hint="eastAsia" w:ascii="仿宋" w:hAnsi="仿宋" w:eastAsia="仿宋"/>
                      <w:sz w:val="28"/>
                      <w:szCs w:val="28"/>
                    </w:rPr>
                    <w:fldChar w:fldCharType="separate"/>
                  </w:r>
                  <w:r>
                    <w:rPr>
                      <w:rFonts w:hint="eastAsia" w:ascii="仿宋" w:hAnsi="仿宋" w:eastAsia="仿宋"/>
                      <w:sz w:val="28"/>
                      <w:szCs w:val="28"/>
                    </w:rPr>
                    <w:t>⑤</w:t>
                  </w:r>
                  <w:r>
                    <w:rPr>
                      <w:rFonts w:hint="eastAsia" w:ascii="仿宋" w:hAnsi="仿宋" w:eastAsia="仿宋"/>
                      <w:sz w:val="28"/>
                      <w:szCs w:val="28"/>
                    </w:rPr>
                    <w:fldChar w:fldCharType="end"/>
                  </w:r>
                  <w:r>
                    <w:rPr>
                      <w:rFonts w:hint="eastAsia" w:ascii="仿宋" w:hAnsi="仿宋" w:eastAsia="仿宋"/>
                      <w:sz w:val="28"/>
                      <w:szCs w:val="28"/>
                    </w:rPr>
                    <w:t>货物包装方案、</w:t>
                  </w:r>
                  <w:r>
                    <w:rPr>
                      <w:rFonts w:hint="eastAsia" w:ascii="仿宋" w:hAnsi="仿宋" w:eastAsia="仿宋"/>
                      <w:sz w:val="28"/>
                      <w:szCs w:val="28"/>
                    </w:rPr>
                    <w:fldChar w:fldCharType="begin"/>
                  </w:r>
                  <w:r>
                    <w:rPr>
                      <w:rFonts w:hint="eastAsia" w:ascii="仿宋" w:hAnsi="仿宋" w:eastAsia="仿宋"/>
                      <w:sz w:val="28"/>
                      <w:szCs w:val="28"/>
                    </w:rPr>
                    <w:instrText xml:space="preserve"> = 6 \* GB3 \* MERGEFORMAT </w:instrText>
                  </w:r>
                  <w:r>
                    <w:rPr>
                      <w:rFonts w:hint="eastAsia" w:ascii="仿宋" w:hAnsi="仿宋" w:eastAsia="仿宋"/>
                      <w:sz w:val="28"/>
                      <w:szCs w:val="28"/>
                    </w:rPr>
                    <w:fldChar w:fldCharType="separate"/>
                  </w:r>
                  <w:r>
                    <w:rPr>
                      <w:rFonts w:hint="eastAsia" w:ascii="仿宋" w:hAnsi="仿宋" w:eastAsia="仿宋"/>
                      <w:sz w:val="28"/>
                      <w:szCs w:val="28"/>
                    </w:rPr>
                    <w:t>⑥</w:t>
                  </w:r>
                  <w:r>
                    <w:rPr>
                      <w:rFonts w:hint="eastAsia" w:ascii="仿宋" w:hAnsi="仿宋" w:eastAsia="仿宋"/>
                      <w:sz w:val="28"/>
                      <w:szCs w:val="28"/>
                    </w:rPr>
                    <w:fldChar w:fldCharType="end"/>
                  </w:r>
                  <w:r>
                    <w:rPr>
                      <w:rFonts w:hint="eastAsia" w:ascii="仿宋" w:hAnsi="仿宋" w:eastAsia="仿宋"/>
                      <w:sz w:val="28"/>
                      <w:szCs w:val="28"/>
                    </w:rPr>
                    <w:t>货物交付及验收；所提供的方案全面内容可行、充实，且利于项目，每提供1项得2分，满分12分，每缺少一项内容扣2分；每有一处未能满足采购需求的扣1分。</w:t>
                  </w:r>
                </w:p>
              </w:tc>
            </w:tr>
            <w:tr w14:paraId="4F239E9A">
              <w:tblPrEx>
                <w:tblCellMar>
                  <w:top w:w="0" w:type="dxa"/>
                  <w:left w:w="108" w:type="dxa"/>
                  <w:bottom w:w="0" w:type="dxa"/>
                  <w:right w:w="108" w:type="dxa"/>
                </w:tblCellMar>
              </w:tblPrEx>
              <w:trPr>
                <w:trHeight w:val="759"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13E1A091">
                  <w:pPr>
                    <w:snapToGrid w:val="0"/>
                    <w:spacing w:line="276" w:lineRule="auto"/>
                    <w:rPr>
                      <w:rFonts w:hint="eastAsia" w:ascii="仿宋" w:hAnsi="仿宋" w:eastAsia="仿宋"/>
                      <w:sz w:val="28"/>
                      <w:szCs w:val="28"/>
                    </w:rPr>
                  </w:pPr>
                  <w:r>
                    <w:rPr>
                      <w:rFonts w:hint="eastAsia" w:ascii="仿宋" w:hAnsi="仿宋" w:eastAsia="仿宋"/>
                      <w:sz w:val="28"/>
                      <w:szCs w:val="28"/>
                    </w:rPr>
                    <w:t>3</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7211FC3">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项目实施人员</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F8DE572">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597815DF">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投标人提供服务本项目人员至少2人，提供2人的得基础分3分，不足2人不得分，每加1人加1分，本项满分</w:t>
                  </w:r>
                  <w:r>
                    <w:rPr>
                      <w:rFonts w:hint="eastAsia" w:ascii="仿宋" w:hAnsi="仿宋" w:eastAsia="仿宋"/>
                      <w:sz w:val="28"/>
                      <w:szCs w:val="28"/>
                      <w:lang w:val="en-US" w:eastAsia="zh-CN"/>
                    </w:rPr>
                    <w:t>5</w:t>
                  </w:r>
                  <w:r>
                    <w:rPr>
                      <w:rFonts w:hint="eastAsia" w:ascii="仿宋" w:hAnsi="仿宋" w:eastAsia="仿宋"/>
                      <w:sz w:val="28"/>
                      <w:szCs w:val="28"/>
                    </w:rPr>
                    <w:t>分；须提供人员的身份证原件扫描件加盖公章，未提供或提供不全不得分。</w:t>
                  </w:r>
                </w:p>
              </w:tc>
            </w:tr>
            <w:tr w14:paraId="5A50D44D">
              <w:tblPrEx>
                <w:tblCellMar>
                  <w:top w:w="0" w:type="dxa"/>
                  <w:left w:w="108" w:type="dxa"/>
                  <w:bottom w:w="0" w:type="dxa"/>
                  <w:right w:w="108" w:type="dxa"/>
                </w:tblCellMar>
              </w:tblPrEx>
              <w:trPr>
                <w:trHeight w:val="715"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0195E7A2">
                  <w:pPr>
                    <w:snapToGrid w:val="0"/>
                    <w:spacing w:line="276" w:lineRule="auto"/>
                    <w:rPr>
                      <w:rFonts w:hint="eastAsia" w:ascii="仿宋" w:hAnsi="仿宋" w:eastAsia="仿宋"/>
                      <w:sz w:val="28"/>
                      <w:szCs w:val="28"/>
                    </w:rPr>
                  </w:pPr>
                  <w:r>
                    <w:rPr>
                      <w:rFonts w:hint="eastAsia" w:ascii="仿宋" w:hAnsi="仿宋" w:eastAsia="仿宋"/>
                      <w:sz w:val="28"/>
                      <w:szCs w:val="28"/>
                    </w:rPr>
                    <w:t>5</w:t>
                  </w:r>
                </w:p>
              </w:tc>
              <w:tc>
                <w:tcPr>
                  <w:tcW w:w="1162" w:type="dxa"/>
                  <w:tcBorders>
                    <w:top w:val="single" w:color="000000" w:sz="4" w:space="0"/>
                    <w:left w:val="single" w:color="000000" w:sz="4" w:space="0"/>
                    <w:bottom w:val="single" w:color="000000" w:sz="4" w:space="0"/>
                    <w:right w:val="single" w:color="000000" w:sz="4" w:space="0"/>
                  </w:tcBorders>
                  <w:noWrap/>
                  <w:vAlign w:val="top"/>
                </w:tcPr>
                <w:p w14:paraId="6E96EC8D">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质保期</w:t>
                  </w:r>
                </w:p>
              </w:tc>
              <w:tc>
                <w:tcPr>
                  <w:tcW w:w="878" w:type="dxa"/>
                  <w:tcBorders>
                    <w:top w:val="single" w:color="000000" w:sz="4" w:space="0"/>
                    <w:left w:val="single" w:color="000000" w:sz="4" w:space="0"/>
                    <w:bottom w:val="single" w:color="000000" w:sz="4" w:space="0"/>
                    <w:right w:val="single" w:color="000000" w:sz="4" w:space="0"/>
                  </w:tcBorders>
                  <w:noWrap/>
                  <w:vAlign w:val="top"/>
                </w:tcPr>
                <w:p w14:paraId="45B44BEC">
                  <w:pPr>
                    <w:snapToGrid w:val="0"/>
                    <w:spacing w:line="276" w:lineRule="auto"/>
                    <w:ind w:left="0" w:leftChars="0" w:firstLine="0" w:firstLineChars="0"/>
                    <w:rPr>
                      <w:rFonts w:hint="eastAsia" w:ascii="仿宋" w:hAnsi="仿宋" w:eastAsia="仿宋"/>
                      <w:sz w:val="28"/>
                      <w:szCs w:val="28"/>
                      <w:lang w:eastAsia="zh-CN"/>
                    </w:rPr>
                  </w:pPr>
                  <w:r>
                    <w:rPr>
                      <w:rFonts w:hint="eastAsia" w:ascii="仿宋" w:hAnsi="仿宋" w:eastAsia="仿宋"/>
                      <w:sz w:val="28"/>
                      <w:szCs w:val="28"/>
                      <w:lang w:val="en-US" w:eastAsia="zh-CN"/>
                    </w:rPr>
                    <w:t>3</w:t>
                  </w:r>
                  <w:r>
                    <w:rPr>
                      <w:rFonts w:hint="eastAsia" w:ascii="仿宋" w:hAnsi="仿宋" w:eastAsia="仿宋"/>
                      <w:sz w:val="28"/>
                      <w:szCs w:val="28"/>
                      <w:lang w:eastAsia="zh-CN"/>
                    </w:rPr>
                    <w:t>分</w:t>
                  </w:r>
                </w:p>
              </w:tc>
              <w:tc>
                <w:tcPr>
                  <w:tcW w:w="9893" w:type="dxa"/>
                  <w:tcBorders>
                    <w:top w:val="single" w:color="000000" w:sz="4" w:space="0"/>
                    <w:left w:val="single" w:color="000000" w:sz="4" w:space="0"/>
                    <w:bottom w:val="single" w:color="000000" w:sz="4" w:space="0"/>
                    <w:right w:val="single" w:color="000000" w:sz="4" w:space="0"/>
                  </w:tcBorders>
                  <w:noWrap w:val="0"/>
                  <w:vAlign w:val="top"/>
                </w:tcPr>
                <w:p w14:paraId="42EA0EA6">
                  <w:pPr>
                    <w:snapToGrid w:val="0"/>
                    <w:spacing w:line="276" w:lineRule="auto"/>
                    <w:ind w:left="0" w:leftChars="0" w:firstLine="0" w:firstLineChars="0"/>
                    <w:rPr>
                      <w:rFonts w:hint="default" w:ascii="仿宋" w:hAnsi="仿宋" w:eastAsia="仿宋"/>
                      <w:sz w:val="28"/>
                      <w:szCs w:val="28"/>
                      <w:lang w:val="en-US" w:eastAsia="zh-CN"/>
                    </w:rPr>
                  </w:pPr>
                  <w:r>
                    <w:rPr>
                      <w:rFonts w:hint="eastAsia" w:ascii="仿宋" w:hAnsi="仿宋" w:eastAsia="仿宋" w:cs="Times New Roman"/>
                      <w:sz w:val="28"/>
                      <w:szCs w:val="28"/>
                    </w:rPr>
                    <w:t>满足采购文件要求质保期的得1分，在采购文件要求质保期基础上增加1年得2分，增加2年及以上的得3分。</w:t>
                  </w:r>
                </w:p>
              </w:tc>
            </w:tr>
            <w:tr w14:paraId="71A71FF1">
              <w:tblPrEx>
                <w:tblCellMar>
                  <w:top w:w="0" w:type="dxa"/>
                  <w:left w:w="108" w:type="dxa"/>
                  <w:bottom w:w="0" w:type="dxa"/>
                  <w:right w:w="108" w:type="dxa"/>
                </w:tblCellMar>
              </w:tblPrEx>
              <w:trPr>
                <w:trHeight w:val="1004"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23B87059">
                  <w:pPr>
                    <w:snapToGrid w:val="0"/>
                    <w:spacing w:line="276" w:lineRule="auto"/>
                    <w:rPr>
                      <w:rFonts w:hint="eastAsia" w:ascii="仿宋" w:hAnsi="仿宋" w:eastAsia="仿宋"/>
                      <w:sz w:val="28"/>
                      <w:szCs w:val="28"/>
                    </w:rPr>
                  </w:pPr>
                  <w:r>
                    <w:rPr>
                      <w:rFonts w:hint="eastAsia" w:ascii="仿宋" w:hAnsi="仿宋" w:eastAsia="仿宋"/>
                      <w:sz w:val="28"/>
                      <w:szCs w:val="28"/>
                    </w:rPr>
                    <w:t>6</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773FBE0">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售后方案</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5C17425">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val="en-US" w:eastAsia="zh-CN"/>
                    </w:rPr>
                    <w:t>8</w:t>
                  </w:r>
                  <w:r>
                    <w:rPr>
                      <w:rFonts w:hint="eastAsia" w:ascii="仿宋" w:hAnsi="仿宋" w:eastAsia="仿宋"/>
                      <w:sz w:val="28"/>
                      <w:szCs w:val="28"/>
                    </w:rPr>
                    <w:t>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24CA2ADB">
                  <w:pPr>
                    <w:snapToGrid w:val="0"/>
                    <w:spacing w:line="276" w:lineRule="auto"/>
                    <w:ind w:left="0" w:leftChars="0" w:firstLine="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根据</w:t>
                  </w:r>
                  <w:r>
                    <w:rPr>
                      <w:rFonts w:hint="eastAsia" w:ascii="仿宋" w:hAnsi="仿宋" w:eastAsia="仿宋"/>
                      <w:sz w:val="28"/>
                      <w:szCs w:val="28"/>
                      <w:lang w:eastAsia="zh-CN"/>
                    </w:rPr>
                    <w:t>服务商</w:t>
                  </w:r>
                  <w:r>
                    <w:rPr>
                      <w:rFonts w:hint="eastAsia" w:ascii="仿宋" w:hAnsi="仿宋" w:eastAsia="仿宋"/>
                      <w:sz w:val="28"/>
                      <w:szCs w:val="28"/>
                      <w:lang w:val="en-US" w:eastAsia="zh-CN"/>
                    </w:rPr>
                    <w:t>的售后服务方案，包含保修期、保修期内服务条款及现场服务响应条款、保修期外具体服务承诺及维修收费标准等进行综合评审：</w:t>
                  </w:r>
                </w:p>
                <w:p w14:paraId="4A9EC404">
                  <w:pPr>
                    <w:snapToGrid w:val="0"/>
                    <w:spacing w:line="276" w:lineRule="auto"/>
                    <w:ind w:left="0" w:leftChars="0" w:firstLine="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（1）售后服务方案合理可行，充分考虑采购人的实际使用需求的，优于招标文件要求的，得8分；</w:t>
                  </w:r>
                </w:p>
                <w:p w14:paraId="7273E5A5">
                  <w:pPr>
                    <w:snapToGrid w:val="0"/>
                    <w:spacing w:line="276" w:lineRule="auto"/>
                    <w:ind w:left="0" w:leftChars="0" w:firstLine="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（2）售后服务方案较合理可行，基本考虑采购人的实际使用需求的，满足招标文件要求的，得5分；</w:t>
                  </w:r>
                </w:p>
                <w:p w14:paraId="69DC4C31">
                  <w:pPr>
                    <w:snapToGrid w:val="0"/>
                    <w:spacing w:line="276" w:lineRule="auto"/>
                    <w:ind w:left="0" w:leftChars="0" w:firstLine="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（3）售后服务方案合理可行性差，不能满足采购人实际使用需求的得2分。</w:t>
                  </w:r>
                </w:p>
                <w:p w14:paraId="5352EB23">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val="en-US" w:eastAsia="zh-CN"/>
                    </w:rPr>
                    <w:t>（4）无提供方案不得分。</w:t>
                  </w:r>
                </w:p>
              </w:tc>
            </w:tr>
            <w:tr w14:paraId="7361D2F0">
              <w:tblPrEx>
                <w:tblCellMar>
                  <w:top w:w="0" w:type="dxa"/>
                  <w:left w:w="108" w:type="dxa"/>
                  <w:bottom w:w="0" w:type="dxa"/>
                  <w:right w:w="108" w:type="dxa"/>
                </w:tblCellMar>
              </w:tblPrEx>
              <w:trPr>
                <w:trHeight w:val="715" w:hRule="atLeast"/>
                <w:jc w:val="center"/>
              </w:trPr>
              <w:tc>
                <w:tcPr>
                  <w:tcW w:w="676" w:type="dxa"/>
                  <w:vMerge w:val="restart"/>
                  <w:tcBorders>
                    <w:top w:val="single" w:color="000000" w:sz="4" w:space="0"/>
                    <w:left w:val="single" w:color="000000" w:sz="4" w:space="0"/>
                    <w:right w:val="single" w:color="000000" w:sz="4" w:space="0"/>
                  </w:tcBorders>
                  <w:noWrap/>
                  <w:vAlign w:val="center"/>
                </w:tcPr>
                <w:p w14:paraId="7EDCA9D4">
                  <w:pPr>
                    <w:snapToGrid w:val="0"/>
                    <w:spacing w:line="276" w:lineRule="auto"/>
                    <w:rPr>
                      <w:rFonts w:hint="eastAsia" w:ascii="仿宋" w:hAnsi="仿宋" w:eastAsia="仿宋"/>
                      <w:sz w:val="28"/>
                      <w:szCs w:val="28"/>
                    </w:rPr>
                  </w:pPr>
                  <w:r>
                    <w:rPr>
                      <w:rFonts w:hint="eastAsia" w:ascii="仿宋" w:hAnsi="仿宋" w:eastAsia="仿宋"/>
                      <w:sz w:val="28"/>
                      <w:szCs w:val="28"/>
                    </w:rPr>
                    <w:t>7</w:t>
                  </w:r>
                </w:p>
              </w:tc>
              <w:tc>
                <w:tcPr>
                  <w:tcW w:w="1162" w:type="dxa"/>
                  <w:vMerge w:val="restart"/>
                  <w:tcBorders>
                    <w:top w:val="single" w:color="000000" w:sz="4" w:space="0"/>
                    <w:left w:val="single" w:color="000000" w:sz="4" w:space="0"/>
                    <w:right w:val="single" w:color="000000" w:sz="4" w:space="0"/>
                  </w:tcBorders>
                  <w:noWrap/>
                  <w:vAlign w:val="center"/>
                </w:tcPr>
                <w:p w14:paraId="77055F31">
                  <w:pPr>
                    <w:snapToGrid w:val="0"/>
                    <w:spacing w:line="276" w:lineRule="auto"/>
                    <w:ind w:left="0" w:leftChars="0" w:firstLine="0" w:firstLineChars="0"/>
                    <w:rPr>
                      <w:rFonts w:hint="eastAsia" w:ascii="仿宋" w:hAnsi="仿宋" w:eastAsia="仿宋"/>
                      <w:sz w:val="28"/>
                      <w:szCs w:val="28"/>
                      <w:lang w:eastAsia="zh-CN"/>
                    </w:rPr>
                  </w:pPr>
                  <w:r>
                    <w:rPr>
                      <w:rFonts w:hint="eastAsia" w:ascii="仿宋" w:hAnsi="仿宋" w:eastAsia="仿宋"/>
                      <w:sz w:val="28"/>
                      <w:szCs w:val="28"/>
                    </w:rPr>
                    <w:t>质量保证</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B86CE8D">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val="en-US" w:eastAsia="zh-CN"/>
                    </w:rPr>
                    <w:t>8</w:t>
                  </w:r>
                  <w:r>
                    <w:rPr>
                      <w:rFonts w:hint="eastAsia" w:ascii="仿宋" w:hAnsi="仿宋" w:eastAsia="仿宋"/>
                      <w:sz w:val="28"/>
                      <w:szCs w:val="28"/>
                    </w:rPr>
                    <w:t>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0DDE01B2">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根据对投标人的①配送过程管理措施、②质量保障的措施和机制、③质量保证期限内的服务方案、④紧急情况下的应急保障措施等，方案每有一项能完全满足或优于项目实际需求的得</w:t>
                  </w:r>
                  <w:r>
                    <w:rPr>
                      <w:rFonts w:hint="eastAsia" w:ascii="仿宋" w:hAnsi="仿宋" w:eastAsia="仿宋"/>
                      <w:sz w:val="28"/>
                      <w:szCs w:val="28"/>
                      <w:lang w:val="en-US" w:eastAsia="zh-CN"/>
                    </w:rPr>
                    <w:t>2</w:t>
                  </w:r>
                  <w:r>
                    <w:rPr>
                      <w:rFonts w:hint="eastAsia" w:ascii="仿宋" w:hAnsi="仿宋" w:eastAsia="仿宋"/>
                      <w:sz w:val="28"/>
                      <w:szCs w:val="28"/>
                    </w:rPr>
                    <w:t>分，满分</w:t>
                  </w:r>
                  <w:r>
                    <w:rPr>
                      <w:rFonts w:hint="eastAsia" w:ascii="仿宋" w:hAnsi="仿宋" w:eastAsia="仿宋"/>
                      <w:sz w:val="28"/>
                      <w:szCs w:val="28"/>
                      <w:lang w:val="en-US" w:eastAsia="zh-CN"/>
                    </w:rPr>
                    <w:t>8</w:t>
                  </w:r>
                  <w:r>
                    <w:rPr>
                      <w:rFonts w:hint="eastAsia" w:ascii="仿宋" w:hAnsi="仿宋" w:eastAsia="仿宋"/>
                      <w:sz w:val="28"/>
                      <w:szCs w:val="28"/>
                    </w:rPr>
                    <w:t>分，每缺少一项内容扣</w:t>
                  </w:r>
                  <w:r>
                    <w:rPr>
                      <w:rFonts w:hint="eastAsia" w:ascii="仿宋" w:hAnsi="仿宋" w:eastAsia="仿宋"/>
                      <w:sz w:val="28"/>
                      <w:szCs w:val="28"/>
                      <w:lang w:val="en-US" w:eastAsia="zh-CN"/>
                    </w:rPr>
                    <w:t>2</w:t>
                  </w:r>
                  <w:r>
                    <w:rPr>
                      <w:rFonts w:hint="eastAsia" w:ascii="仿宋" w:hAnsi="仿宋" w:eastAsia="仿宋"/>
                      <w:sz w:val="28"/>
                      <w:szCs w:val="28"/>
                    </w:rPr>
                    <w:t>分；每有一处未能满足采购需求的扣</w:t>
                  </w:r>
                  <w:r>
                    <w:rPr>
                      <w:rFonts w:hint="eastAsia" w:ascii="仿宋" w:hAnsi="仿宋" w:eastAsia="仿宋"/>
                      <w:sz w:val="28"/>
                      <w:szCs w:val="28"/>
                      <w:lang w:val="en-US" w:eastAsia="zh-CN"/>
                    </w:rPr>
                    <w:t>1</w:t>
                  </w:r>
                  <w:r>
                    <w:rPr>
                      <w:rFonts w:hint="eastAsia" w:ascii="仿宋" w:hAnsi="仿宋" w:eastAsia="仿宋"/>
                      <w:sz w:val="28"/>
                      <w:szCs w:val="28"/>
                    </w:rPr>
                    <w:t>分。</w:t>
                  </w:r>
                </w:p>
              </w:tc>
            </w:tr>
            <w:tr w14:paraId="56185F4A">
              <w:tblPrEx>
                <w:tblCellMar>
                  <w:top w:w="0" w:type="dxa"/>
                  <w:left w:w="108" w:type="dxa"/>
                  <w:bottom w:w="0" w:type="dxa"/>
                  <w:right w:w="108" w:type="dxa"/>
                </w:tblCellMar>
              </w:tblPrEx>
              <w:trPr>
                <w:trHeight w:val="299" w:hRule="atLeast"/>
                <w:jc w:val="center"/>
              </w:trPr>
              <w:tc>
                <w:tcPr>
                  <w:tcW w:w="676" w:type="dxa"/>
                  <w:vMerge w:val="continue"/>
                  <w:tcBorders>
                    <w:left w:val="single" w:color="000000" w:sz="4" w:space="0"/>
                    <w:bottom w:val="single" w:color="000000" w:sz="4" w:space="0"/>
                    <w:right w:val="single" w:color="000000" w:sz="4" w:space="0"/>
                  </w:tcBorders>
                  <w:noWrap/>
                  <w:vAlign w:val="center"/>
                </w:tcPr>
                <w:p w14:paraId="374A485A">
                  <w:pPr>
                    <w:snapToGrid w:val="0"/>
                    <w:spacing w:line="276" w:lineRule="auto"/>
                    <w:rPr>
                      <w:rFonts w:hint="eastAsia" w:ascii="仿宋" w:hAnsi="仿宋" w:eastAsia="仿宋"/>
                      <w:sz w:val="28"/>
                      <w:szCs w:val="28"/>
                    </w:rPr>
                  </w:pPr>
                </w:p>
              </w:tc>
              <w:tc>
                <w:tcPr>
                  <w:tcW w:w="1162" w:type="dxa"/>
                  <w:vMerge w:val="continue"/>
                  <w:tcBorders>
                    <w:left w:val="single" w:color="000000" w:sz="4" w:space="0"/>
                    <w:bottom w:val="single" w:color="000000" w:sz="4" w:space="0"/>
                    <w:right w:val="single" w:color="000000" w:sz="4" w:space="0"/>
                  </w:tcBorders>
                  <w:noWrap/>
                  <w:vAlign w:val="center"/>
                </w:tcPr>
                <w:p w14:paraId="5B26AA80">
                  <w:pPr>
                    <w:snapToGrid w:val="0"/>
                    <w:spacing w:line="276" w:lineRule="auto"/>
                    <w:rPr>
                      <w:rFonts w:hint="eastAsia" w:ascii="仿宋" w:hAnsi="仿宋" w:eastAsia="仿宋"/>
                      <w:sz w:val="28"/>
                      <w:szCs w:val="28"/>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3630D3C">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635A7252">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投标人提供所投货物的质量检测报告，提供的质检报告须为有效期内的由国家质量技术监督管理职能部门或国家质量技术监督管理职能部门授权认可的第三方检测机构出具的产品质检报告，报告须体现产品名称、功能参数等（检测报告须符合国家标准，提供检测报告原件扫描件加盖公章）。每提供一份得</w:t>
                  </w:r>
                  <w:r>
                    <w:rPr>
                      <w:rFonts w:hint="eastAsia" w:ascii="仿宋" w:hAnsi="仿宋" w:eastAsia="仿宋"/>
                      <w:sz w:val="28"/>
                      <w:szCs w:val="28"/>
                      <w:lang w:val="en-US" w:eastAsia="zh-CN"/>
                    </w:rPr>
                    <w:t>1</w:t>
                  </w:r>
                  <w:r>
                    <w:rPr>
                      <w:rFonts w:hint="eastAsia" w:ascii="仿宋" w:hAnsi="仿宋" w:eastAsia="仿宋"/>
                      <w:sz w:val="28"/>
                      <w:szCs w:val="28"/>
                    </w:rPr>
                    <w:t>分，满分</w:t>
                  </w:r>
                  <w:r>
                    <w:rPr>
                      <w:rFonts w:hint="eastAsia" w:ascii="仿宋" w:hAnsi="仿宋" w:eastAsia="仿宋"/>
                      <w:sz w:val="28"/>
                      <w:szCs w:val="28"/>
                      <w:lang w:val="en-US" w:eastAsia="zh-CN"/>
                    </w:rPr>
                    <w:t>2</w:t>
                  </w:r>
                  <w:r>
                    <w:rPr>
                      <w:rFonts w:hint="eastAsia" w:ascii="仿宋" w:hAnsi="仿宋" w:eastAsia="仿宋"/>
                      <w:sz w:val="28"/>
                      <w:szCs w:val="28"/>
                    </w:rPr>
                    <w:t xml:space="preserve"> 分，未提供不得分。</w:t>
                  </w:r>
                </w:p>
              </w:tc>
            </w:tr>
            <w:tr w14:paraId="67AF27DF">
              <w:tblPrEx>
                <w:tblCellMar>
                  <w:top w:w="0" w:type="dxa"/>
                  <w:left w:w="108" w:type="dxa"/>
                  <w:bottom w:w="0" w:type="dxa"/>
                  <w:right w:w="108" w:type="dxa"/>
                </w:tblCellMar>
              </w:tblPrEx>
              <w:trPr>
                <w:trHeight w:val="2587" w:hRule="atLeast"/>
                <w:jc w:val="center"/>
              </w:trPr>
              <w:tc>
                <w:tcPr>
                  <w:tcW w:w="676" w:type="dxa"/>
                  <w:vMerge w:val="restart"/>
                  <w:tcBorders>
                    <w:top w:val="single" w:color="000000" w:sz="4" w:space="0"/>
                    <w:left w:val="single" w:color="000000" w:sz="4" w:space="0"/>
                    <w:right w:val="single" w:color="000000" w:sz="4" w:space="0"/>
                  </w:tcBorders>
                  <w:noWrap/>
                  <w:vAlign w:val="center"/>
                </w:tcPr>
                <w:p w14:paraId="72777D9F">
                  <w:pPr>
                    <w:snapToGrid w:val="0"/>
                    <w:spacing w:line="276" w:lineRule="auto"/>
                    <w:rPr>
                      <w:rFonts w:hint="eastAsia" w:ascii="仿宋" w:hAnsi="仿宋" w:eastAsia="仿宋"/>
                      <w:sz w:val="28"/>
                      <w:szCs w:val="28"/>
                    </w:rPr>
                  </w:pPr>
                  <w:r>
                    <w:rPr>
                      <w:rFonts w:hint="eastAsia" w:ascii="仿宋" w:hAnsi="仿宋" w:eastAsia="仿宋"/>
                      <w:sz w:val="28"/>
                      <w:szCs w:val="28"/>
                    </w:rPr>
                    <w:t>8</w:t>
                  </w:r>
                </w:p>
              </w:tc>
              <w:tc>
                <w:tcPr>
                  <w:tcW w:w="1162" w:type="dxa"/>
                  <w:vMerge w:val="restart"/>
                  <w:tcBorders>
                    <w:top w:val="single" w:color="000000" w:sz="4" w:space="0"/>
                    <w:left w:val="single" w:color="000000" w:sz="4" w:space="0"/>
                    <w:right w:val="single" w:color="000000" w:sz="4" w:space="0"/>
                  </w:tcBorders>
                  <w:noWrap/>
                  <w:vAlign w:val="center"/>
                </w:tcPr>
                <w:p w14:paraId="3943C953">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样品</w:t>
                  </w:r>
                </w:p>
              </w:tc>
              <w:tc>
                <w:tcPr>
                  <w:tcW w:w="878" w:type="dxa"/>
                  <w:vMerge w:val="restart"/>
                  <w:tcBorders>
                    <w:top w:val="single" w:color="000000" w:sz="4" w:space="0"/>
                    <w:left w:val="single" w:color="000000" w:sz="4" w:space="0"/>
                    <w:right w:val="single" w:color="000000" w:sz="4" w:space="0"/>
                  </w:tcBorders>
                  <w:noWrap/>
                  <w:vAlign w:val="center"/>
                </w:tcPr>
                <w:p w14:paraId="3C3B653C">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4</w:t>
                  </w:r>
                  <w:r>
                    <w:rPr>
                      <w:rFonts w:hint="eastAsia" w:ascii="仿宋" w:hAnsi="仿宋" w:eastAsia="仿宋"/>
                      <w:sz w:val="28"/>
                      <w:szCs w:val="28"/>
                    </w:rPr>
                    <w:t>分</w:t>
                  </w:r>
                </w:p>
              </w:tc>
              <w:tc>
                <w:tcPr>
                  <w:tcW w:w="9893" w:type="dxa"/>
                  <w:tcBorders>
                    <w:top w:val="single" w:color="000000" w:sz="4" w:space="0"/>
                    <w:left w:val="single" w:color="000000" w:sz="4" w:space="0"/>
                    <w:bottom w:val="single" w:color="auto" w:sz="4" w:space="0"/>
                    <w:right w:val="single" w:color="000000" w:sz="4" w:space="0"/>
                  </w:tcBorders>
                  <w:noWrap w:val="0"/>
                  <w:vAlign w:val="center"/>
                </w:tcPr>
                <w:p w14:paraId="551470C6">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样品完整性（</w:t>
                  </w:r>
                  <w:r>
                    <w:rPr>
                      <w:rFonts w:hint="eastAsia" w:ascii="仿宋" w:hAnsi="仿宋" w:eastAsia="仿宋" w:cs="Times New Roman"/>
                      <w:sz w:val="28"/>
                      <w:szCs w:val="28"/>
                      <w:lang w:val="en-US" w:eastAsia="zh-CN"/>
                    </w:rPr>
                    <w:t>7</w:t>
                  </w:r>
                  <w:r>
                    <w:rPr>
                      <w:rFonts w:hint="eastAsia" w:ascii="仿宋" w:hAnsi="仿宋" w:eastAsia="仿宋" w:cs="Times New Roman"/>
                      <w:sz w:val="28"/>
                      <w:szCs w:val="28"/>
                    </w:rPr>
                    <w:t>分）</w:t>
                  </w:r>
                </w:p>
                <w:p w14:paraId="7D037E55">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rPr>
                    <w:t>完整提供卷帘（面料小样+导轨、支架、端头全套五金配件）、隔热膜样品，样品尺寸满足采购要求；每件样品独立标识标签，注明项目名称、供应商名称、品牌型号、透光率、隔热率等关键参数：</w:t>
                  </w:r>
                  <w:r>
                    <w:rPr>
                      <w:rFonts w:hint="eastAsia" w:ascii="仿宋" w:hAnsi="仿宋" w:eastAsia="仿宋" w:cs="Times New Roman"/>
                      <w:sz w:val="28"/>
                      <w:szCs w:val="28"/>
                      <w:lang w:val="en-US" w:eastAsia="zh-CN"/>
                    </w:rPr>
                    <w:t>7</w:t>
                  </w:r>
                  <w:r>
                    <w:rPr>
                      <w:rFonts w:hint="eastAsia" w:ascii="仿宋" w:hAnsi="仿宋" w:eastAsia="仿宋" w:cs="Times New Roman"/>
                      <w:sz w:val="28"/>
                      <w:szCs w:val="28"/>
                    </w:rPr>
                    <w:t>分</w:t>
                  </w:r>
                </w:p>
                <w:p w14:paraId="46DE3650">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rPr>
                    <w:t>两类样品均提供齐全，但缺少部分五金配件或参数标签信息不全：</w:t>
                  </w:r>
                  <w:r>
                    <w:rPr>
                      <w:rFonts w:hint="eastAsia" w:ascii="仿宋" w:hAnsi="仿宋" w:eastAsia="仿宋" w:cs="Times New Roman"/>
                      <w:sz w:val="28"/>
                      <w:szCs w:val="28"/>
                      <w:lang w:val="en-US" w:eastAsia="zh-CN"/>
                    </w:rPr>
                    <w:t>4</w:t>
                  </w:r>
                  <w:r>
                    <w:rPr>
                      <w:rFonts w:hint="eastAsia" w:ascii="仿宋" w:hAnsi="仿宋" w:eastAsia="仿宋" w:cs="Times New Roman"/>
                      <w:sz w:val="28"/>
                      <w:szCs w:val="28"/>
                    </w:rPr>
                    <w:t>分</w:t>
                  </w:r>
                </w:p>
                <w:p w14:paraId="1CF44C0C">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cs="Times New Roman"/>
                      <w:sz w:val="28"/>
                      <w:szCs w:val="28"/>
                    </w:rPr>
                    <w:t>缺少卷帘、隔热膜任意一类样品：</w:t>
                  </w: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分</w:t>
                  </w:r>
                </w:p>
              </w:tc>
            </w:tr>
            <w:tr w14:paraId="69C91030">
              <w:tblPrEx>
                <w:tblCellMar>
                  <w:top w:w="0" w:type="dxa"/>
                  <w:left w:w="108" w:type="dxa"/>
                  <w:bottom w:w="0" w:type="dxa"/>
                  <w:right w:w="108" w:type="dxa"/>
                </w:tblCellMar>
              </w:tblPrEx>
              <w:trPr>
                <w:trHeight w:val="419" w:hRule="atLeast"/>
                <w:jc w:val="center"/>
              </w:trPr>
              <w:tc>
                <w:tcPr>
                  <w:tcW w:w="676" w:type="dxa"/>
                  <w:vMerge w:val="continue"/>
                  <w:tcBorders>
                    <w:left w:val="single" w:color="000000" w:sz="4" w:space="0"/>
                    <w:bottom w:val="single" w:color="000000" w:sz="4" w:space="0"/>
                    <w:right w:val="single" w:color="000000" w:sz="4" w:space="0"/>
                  </w:tcBorders>
                  <w:noWrap/>
                  <w:vAlign w:val="center"/>
                </w:tcPr>
                <w:p w14:paraId="34BEA175">
                  <w:pPr>
                    <w:snapToGrid w:val="0"/>
                    <w:spacing w:line="276" w:lineRule="auto"/>
                    <w:rPr>
                      <w:rFonts w:hint="eastAsia" w:ascii="仿宋" w:hAnsi="仿宋" w:eastAsia="仿宋"/>
                      <w:sz w:val="28"/>
                      <w:szCs w:val="28"/>
                    </w:rPr>
                  </w:pPr>
                </w:p>
              </w:tc>
              <w:tc>
                <w:tcPr>
                  <w:tcW w:w="1162" w:type="dxa"/>
                  <w:vMerge w:val="continue"/>
                  <w:tcBorders>
                    <w:left w:val="single" w:color="000000" w:sz="4" w:space="0"/>
                    <w:bottom w:val="single" w:color="000000" w:sz="4" w:space="0"/>
                    <w:right w:val="single" w:color="000000" w:sz="4" w:space="0"/>
                  </w:tcBorders>
                  <w:noWrap/>
                  <w:vAlign w:val="center"/>
                </w:tcPr>
                <w:p w14:paraId="6B9649ED">
                  <w:pPr>
                    <w:snapToGrid w:val="0"/>
                    <w:spacing w:line="276" w:lineRule="auto"/>
                    <w:ind w:left="0" w:leftChars="0" w:firstLine="0" w:firstLineChars="0"/>
                    <w:rPr>
                      <w:rFonts w:hint="eastAsia" w:ascii="仿宋" w:hAnsi="仿宋" w:eastAsia="仿宋"/>
                      <w:sz w:val="28"/>
                      <w:szCs w:val="28"/>
                    </w:rPr>
                  </w:pPr>
                </w:p>
              </w:tc>
              <w:tc>
                <w:tcPr>
                  <w:tcW w:w="878" w:type="dxa"/>
                  <w:vMerge w:val="continue"/>
                  <w:tcBorders>
                    <w:left w:val="single" w:color="000000" w:sz="4" w:space="0"/>
                    <w:bottom w:val="single" w:color="000000" w:sz="4" w:space="0"/>
                    <w:right w:val="single" w:color="000000" w:sz="4" w:space="0"/>
                  </w:tcBorders>
                  <w:noWrap/>
                  <w:vAlign w:val="center"/>
                </w:tcPr>
                <w:p w14:paraId="56BB9F49">
                  <w:pPr>
                    <w:snapToGrid w:val="0"/>
                    <w:spacing w:line="276" w:lineRule="auto"/>
                    <w:ind w:left="0" w:leftChars="0" w:firstLine="0" w:firstLineChars="0"/>
                    <w:rPr>
                      <w:rFonts w:hint="eastAsia" w:ascii="仿宋" w:hAnsi="仿宋" w:eastAsia="仿宋"/>
                      <w:sz w:val="28"/>
                      <w:szCs w:val="28"/>
                    </w:rPr>
                  </w:pPr>
                </w:p>
              </w:tc>
              <w:tc>
                <w:tcPr>
                  <w:tcW w:w="9893" w:type="dxa"/>
                  <w:tcBorders>
                    <w:top w:val="single" w:color="auto" w:sz="4" w:space="0"/>
                    <w:left w:val="single" w:color="000000" w:sz="4" w:space="0"/>
                    <w:bottom w:val="single" w:color="000000" w:sz="4" w:space="0"/>
                    <w:right w:val="single" w:color="000000" w:sz="4" w:space="0"/>
                  </w:tcBorders>
                  <w:noWrap w:val="0"/>
                  <w:vAlign w:val="center"/>
                </w:tcPr>
                <w:p w14:paraId="0003FB15">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lang w:val="en-US" w:eastAsia="zh-CN"/>
                    </w:rPr>
                    <w:t>2.</w:t>
                  </w:r>
                  <w:r>
                    <w:rPr>
                      <w:rFonts w:hint="eastAsia" w:ascii="仿宋" w:hAnsi="仿宋" w:eastAsia="仿宋" w:cs="Times New Roman"/>
                      <w:sz w:val="28"/>
                      <w:szCs w:val="28"/>
                    </w:rPr>
                    <w:t>样品外观与制作工艺（</w:t>
                  </w:r>
                  <w:r>
                    <w:rPr>
                      <w:rFonts w:hint="eastAsia" w:ascii="仿宋" w:hAnsi="仿宋" w:eastAsia="仿宋" w:cs="Times New Roman"/>
                      <w:sz w:val="28"/>
                      <w:szCs w:val="28"/>
                      <w:lang w:val="en-US" w:eastAsia="zh-CN"/>
                    </w:rPr>
                    <w:t>7</w:t>
                  </w:r>
                  <w:r>
                    <w:rPr>
                      <w:rFonts w:hint="eastAsia" w:ascii="仿宋" w:hAnsi="仿宋" w:eastAsia="仿宋" w:cs="Times New Roman"/>
                      <w:sz w:val="28"/>
                      <w:szCs w:val="28"/>
                    </w:rPr>
                    <w:t>分）</w:t>
                  </w:r>
                </w:p>
                <w:p w14:paraId="0FC89132">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rPr>
                    <w:t>卷帘面料平整密实，无跳线、线头、色差、污渍；导轨涂层均匀、表面无毛刺；隔热膜表面无划痕、折痕、气泡、胶点，裁切边缘整齐：</w:t>
                  </w:r>
                  <w:r>
                    <w:rPr>
                      <w:rFonts w:hint="eastAsia" w:ascii="仿宋" w:hAnsi="仿宋" w:eastAsia="仿宋" w:cs="Times New Roman"/>
                      <w:sz w:val="28"/>
                      <w:szCs w:val="28"/>
                      <w:lang w:val="en-US" w:eastAsia="zh-CN"/>
                    </w:rPr>
                    <w:t>7</w:t>
                  </w:r>
                  <w:r>
                    <w:rPr>
                      <w:rFonts w:hint="eastAsia" w:ascii="仿宋" w:hAnsi="仿宋" w:eastAsia="仿宋" w:cs="Times New Roman"/>
                      <w:sz w:val="28"/>
                      <w:szCs w:val="28"/>
                    </w:rPr>
                    <w:t>分</w:t>
                  </w:r>
                </w:p>
                <w:p w14:paraId="7BE3C072">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rPr>
                    <w:t>存在轻微外观瑕疵，不影响性能比对：</w:t>
                  </w:r>
                  <w:r>
                    <w:rPr>
                      <w:rFonts w:hint="eastAsia" w:ascii="仿宋" w:hAnsi="仿宋" w:eastAsia="仿宋" w:cs="Times New Roman"/>
                      <w:sz w:val="28"/>
                      <w:szCs w:val="28"/>
                      <w:lang w:val="en-US" w:eastAsia="zh-CN"/>
                    </w:rPr>
                    <w:t>4</w:t>
                  </w:r>
                  <w:r>
                    <w:rPr>
                      <w:rFonts w:hint="eastAsia" w:ascii="仿宋" w:hAnsi="仿宋" w:eastAsia="仿宋" w:cs="Times New Roman"/>
                      <w:sz w:val="28"/>
                      <w:szCs w:val="28"/>
                    </w:rPr>
                    <w:t>分</w:t>
                  </w:r>
                </w:p>
                <w:p w14:paraId="233254EC">
                  <w:pPr>
                    <w:snapToGrid w:val="0"/>
                    <w:spacing w:line="276" w:lineRule="auto"/>
                    <w:ind w:left="0" w:leftChars="0" w:firstLine="0" w:firstLineChars="0"/>
                    <w:rPr>
                      <w:rFonts w:hint="eastAsia" w:ascii="仿宋" w:hAnsi="仿宋" w:eastAsia="仿宋" w:cs="Times New Roman"/>
                      <w:sz w:val="28"/>
                      <w:szCs w:val="28"/>
                    </w:rPr>
                  </w:pPr>
                  <w:r>
                    <w:rPr>
                      <w:rFonts w:hint="eastAsia" w:ascii="仿宋" w:hAnsi="仿宋" w:eastAsia="仿宋" w:cs="Times New Roman"/>
                      <w:sz w:val="28"/>
                      <w:szCs w:val="28"/>
                    </w:rPr>
                    <w:t>面料/膜材存在破损、大面积划痕、气泡、明显色差等重大缺陷：</w:t>
                  </w: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分</w:t>
                  </w:r>
                </w:p>
              </w:tc>
            </w:tr>
            <w:tr w14:paraId="761C3785">
              <w:tblPrEx>
                <w:tblCellMar>
                  <w:top w:w="0" w:type="dxa"/>
                  <w:left w:w="108" w:type="dxa"/>
                  <w:bottom w:w="0" w:type="dxa"/>
                  <w:right w:w="108" w:type="dxa"/>
                </w:tblCellMar>
              </w:tblPrEx>
              <w:trPr>
                <w:trHeight w:val="720" w:hRule="atLeast"/>
                <w:jc w:val="center"/>
              </w:trPr>
              <w:tc>
                <w:tcPr>
                  <w:tcW w:w="676" w:type="dxa"/>
                  <w:tcBorders>
                    <w:top w:val="single" w:color="000000" w:sz="4" w:space="0"/>
                    <w:left w:val="single" w:color="000000" w:sz="4" w:space="0"/>
                    <w:bottom w:val="single" w:color="000000" w:sz="4" w:space="0"/>
                    <w:right w:val="single" w:color="000000" w:sz="4" w:space="0"/>
                  </w:tcBorders>
                  <w:noWrap/>
                  <w:vAlign w:val="center"/>
                </w:tcPr>
                <w:p w14:paraId="33E52609">
                  <w:pPr>
                    <w:snapToGrid w:val="0"/>
                    <w:spacing w:line="276" w:lineRule="auto"/>
                    <w:rPr>
                      <w:rFonts w:hint="eastAsia" w:ascii="仿宋" w:hAnsi="仿宋" w:eastAsia="仿宋"/>
                      <w:sz w:val="28"/>
                      <w:szCs w:val="28"/>
                    </w:rPr>
                  </w:pPr>
                  <w:r>
                    <w:rPr>
                      <w:rFonts w:hint="eastAsia" w:ascii="仿宋" w:hAnsi="仿宋" w:eastAsia="仿宋"/>
                      <w:sz w:val="28"/>
                      <w:szCs w:val="28"/>
                    </w:rPr>
                    <w:t>9</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A398C7E">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类似业绩</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37342E0">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5分</w:t>
                  </w:r>
                </w:p>
              </w:tc>
              <w:tc>
                <w:tcPr>
                  <w:tcW w:w="9893" w:type="dxa"/>
                  <w:tcBorders>
                    <w:top w:val="single" w:color="000000" w:sz="4" w:space="0"/>
                    <w:left w:val="single" w:color="000000" w:sz="4" w:space="0"/>
                    <w:bottom w:val="single" w:color="000000" w:sz="4" w:space="0"/>
                    <w:right w:val="single" w:color="000000" w:sz="4" w:space="0"/>
                  </w:tcBorders>
                  <w:noWrap w:val="0"/>
                  <w:vAlign w:val="center"/>
                </w:tcPr>
                <w:p w14:paraId="018644DA">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投标人提供近三年（202</w:t>
                  </w:r>
                  <w:r>
                    <w:rPr>
                      <w:rFonts w:hint="eastAsia" w:ascii="仿宋" w:hAnsi="仿宋" w:eastAsia="仿宋"/>
                      <w:sz w:val="28"/>
                      <w:szCs w:val="28"/>
                      <w:lang w:val="en-US" w:eastAsia="zh-CN"/>
                    </w:rPr>
                    <w:t>3</w:t>
                  </w:r>
                  <w:r>
                    <w:rPr>
                      <w:rFonts w:hint="eastAsia" w:ascii="仿宋" w:hAnsi="仿宋" w:eastAsia="仿宋"/>
                      <w:sz w:val="28"/>
                      <w:szCs w:val="28"/>
                    </w:rPr>
                    <w:t>年</w:t>
                  </w:r>
                  <w:r>
                    <w:rPr>
                      <w:rFonts w:hint="eastAsia" w:ascii="仿宋" w:hAnsi="仿宋" w:eastAsia="仿宋"/>
                      <w:sz w:val="28"/>
                      <w:szCs w:val="28"/>
                      <w:lang w:val="en-US" w:eastAsia="zh-CN"/>
                    </w:rPr>
                    <w:t>1</w:t>
                  </w:r>
                  <w:r>
                    <w:rPr>
                      <w:rFonts w:hint="eastAsia" w:ascii="仿宋" w:hAnsi="仿宋" w:eastAsia="仿宋"/>
                      <w:sz w:val="28"/>
                      <w:szCs w:val="28"/>
                    </w:rPr>
                    <w:t>月01日-至今）完成的类似业绩，每提供一项得1分，满分5分，须提供类似业绩中标/成交通知书或合同原件扫描件。如经评标小组认定所提供业绩残缺不全、模糊难辨或未提供的不得分。</w:t>
                  </w:r>
                </w:p>
                <w:p w14:paraId="32AFEE6B">
                  <w:pPr>
                    <w:snapToGrid w:val="0"/>
                    <w:spacing w:line="276" w:lineRule="auto"/>
                    <w:ind w:left="0" w:leftChars="0" w:firstLine="0" w:firstLineChars="0"/>
                    <w:rPr>
                      <w:rFonts w:hint="eastAsia" w:ascii="仿宋" w:hAnsi="仿宋" w:eastAsia="仿宋"/>
                      <w:sz w:val="28"/>
                      <w:szCs w:val="28"/>
                    </w:rPr>
                  </w:pPr>
                  <w:r>
                    <w:rPr>
                      <w:rFonts w:hint="eastAsia" w:ascii="仿宋" w:hAnsi="仿宋" w:eastAsia="仿宋"/>
                      <w:sz w:val="28"/>
                      <w:szCs w:val="28"/>
                    </w:rPr>
                    <w:t>注：</w:t>
                  </w:r>
                  <w:r>
                    <w:rPr>
                      <w:rFonts w:hint="eastAsia" w:ascii="仿宋" w:hAnsi="仿宋" w:eastAsia="仿宋" w:cs="Times New Roman"/>
                      <w:sz w:val="28"/>
                      <w:szCs w:val="28"/>
                    </w:rPr>
                    <w:t>业绩材料原件扫描件须清晰可见。提供合同作为业绩材料的，扫描件应包含合同首页、服务内容页、金额页、双方签字盖章页、日期页等关键页面；扫描件缺项或关键信息模糊无法辨认的，视为无效业绩，未提供原件扫描件不得分。</w:t>
                  </w:r>
                </w:p>
              </w:tc>
            </w:tr>
          </w:tbl>
          <w:p w14:paraId="065E3B2C">
            <w:pPr>
              <w:snapToGrid w:val="0"/>
              <w:spacing w:line="276" w:lineRule="auto"/>
              <w:rPr>
                <w:rFonts w:hint="eastAsia" w:ascii="仿宋" w:hAnsi="仿宋" w:eastAsia="仿宋"/>
                <w:sz w:val="28"/>
                <w:szCs w:val="28"/>
              </w:rPr>
            </w:pPr>
            <w:r>
              <w:rPr>
                <w:rFonts w:hint="eastAsia" w:ascii="仿宋" w:hAnsi="仿宋" w:eastAsia="仿宋"/>
                <w:sz w:val="28"/>
                <w:szCs w:val="28"/>
              </w:rPr>
              <w:t>说明：评分分值计算等于所有专家评分后的算术平均值，保留小数点后两位，小数点后三位“四舍五入”。</w:t>
            </w:r>
          </w:p>
          <w:p w14:paraId="2A3EBA70">
            <w:pPr>
              <w:snapToGrid w:val="0"/>
              <w:spacing w:line="276" w:lineRule="auto"/>
              <w:rPr>
                <w:rFonts w:ascii="仿宋" w:hAnsi="仿宋" w:eastAsia="仿宋"/>
              </w:rPr>
            </w:pPr>
          </w:p>
        </w:tc>
      </w:tr>
    </w:tbl>
    <w:p w14:paraId="17E0D97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369E94"/>
    <w:multiLevelType w:val="singleLevel"/>
    <w:tmpl w:val="D0369E94"/>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AE5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2026-10-23T03:29:18Z</dcterms:created>
  <dc:creator>Administrator</dc:creator>
  <cp:lastModifiedBy>娟</cp:lastModifiedBy>
  <dcterms:modified xsi:type="dcterms:W3CDTF">2026-10-23T03:36:29Z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eyJoZGlkIjoiN2QzYjBhYjZiOWZjYTFjOWE1MDhlYTk1MjM0YWM1MWQiLCJ1c2VySWQiOiI0NDExMDMzNzMifQ==</vt:lpwstr>
  </property>
  <property fmtid="{D5CDD505-2E9C-101B-9397-08002B2CF9AE}" pid="4" name="ICV">
    <vt:lpwstr>DC61BFC0995148578227DE578B3DA5A0_12</vt:lpwstr>
  </property>
</Properties>
</file>